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5000" w:type="pct"/>
        <w:tblLook w:val="04A0"/>
      </w:tblPr>
      <w:tblGrid>
        <w:gridCol w:w="8522"/>
      </w:tblGrid>
      <w:tr w:rsidR="00A67F05" w:rsidRPr="00A67F05" w:rsidTr="00A67F05">
        <w:tc>
          <w:tcPr>
            <w:tcW w:w="5000" w:type="pct"/>
          </w:tcPr>
          <w:p w:rsidR="00A67F05" w:rsidRDefault="00A67F05" w:rsidP="00A67F05">
            <w:pPr>
              <w:spacing w:line="276" w:lineRule="auto"/>
              <w:rPr>
                <w:rFonts w:cs="Arial"/>
                <w:szCs w:val="22"/>
              </w:rPr>
            </w:pPr>
            <w:r>
              <w:rPr>
                <w:rFonts w:cs="Arial"/>
                <w:noProof/>
                <w:szCs w:val="22"/>
                <w:lang w:eastAsia="el-GR"/>
              </w:rPr>
              <w:drawing>
                <wp:inline distT="0" distB="0" distL="0" distR="0">
                  <wp:extent cx="2275205" cy="2011680"/>
                  <wp:effectExtent l="19050" t="0" r="0" b="0"/>
                  <wp:docPr id="4" name="Εικόνα 4" descr="C:\Users\user\Desktop\κατάλογο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κατάλογος.jpg"/>
                          <pic:cNvPicPr>
                            <a:picLocks noChangeAspect="1" noChangeArrowheads="1"/>
                          </pic:cNvPicPr>
                        </pic:nvPicPr>
                        <pic:blipFill>
                          <a:blip r:embed="rId5" cstate="print"/>
                          <a:srcRect/>
                          <a:stretch>
                            <a:fillRect/>
                          </a:stretch>
                        </pic:blipFill>
                        <pic:spPr bwMode="auto">
                          <a:xfrm>
                            <a:off x="0" y="0"/>
                            <a:ext cx="2275205" cy="2011680"/>
                          </a:xfrm>
                          <a:prstGeom prst="rect">
                            <a:avLst/>
                          </a:prstGeom>
                          <a:noFill/>
                          <a:ln w="9525">
                            <a:noFill/>
                            <a:miter lim="800000"/>
                            <a:headEnd/>
                            <a:tailEnd/>
                          </a:ln>
                        </pic:spPr>
                      </pic:pic>
                    </a:graphicData>
                  </a:graphic>
                </wp:inline>
              </w:drawing>
            </w:r>
            <w:r>
              <w:rPr>
                <w:rFonts w:cs="Arial"/>
                <w:szCs w:val="22"/>
                <w:lang w:val="en-US"/>
              </w:rPr>
              <w:t>To</w:t>
            </w:r>
            <w:r>
              <w:rPr>
                <w:rFonts w:cs="Arial"/>
                <w:szCs w:val="22"/>
              </w:rPr>
              <w:t xml:space="preserve"> μάθημα «Δίκαιο της Υγείας» έχει σκοπό να εφοδιάσει το φοιτητή/τρια με γνώσεις και δεξιότητες στη μεθοδολογία ανάλυσης και ερμηνείας σύνθετων νομικών θεμάτων της υγείας και της ασθένειας, του συστήματος και των υπηρεσιών υγείας, καθώς και των διαμέσου εννόμων σχέσεων εμπλεκομένων φυσικών και νομικών προσώπων.</w:t>
            </w:r>
          </w:p>
          <w:p w:rsidR="00A67F05" w:rsidRDefault="00A67F05" w:rsidP="00A67F05">
            <w:pPr>
              <w:spacing w:line="276" w:lineRule="auto"/>
              <w:rPr>
                <w:szCs w:val="22"/>
              </w:rPr>
            </w:pPr>
            <w:r>
              <w:rPr>
                <w:rFonts w:cs="Arial"/>
                <w:szCs w:val="22"/>
              </w:rPr>
              <w:t xml:space="preserve">Συγκεκριμένα, το μάθημα  στοχεύει στην απόκτηση γνώσεων και δεξιοτήτων σχετικά την έννοια του δικαίου της υγείας, τις πηγές και αρχές του δικαίου της υγείας. Αποβλέπει στους  οργανωτικούς και λειτουργικούς νόμους, που ρυθμίζουν το νομικό καθεστώς  του </w:t>
            </w:r>
            <w:r>
              <w:rPr>
                <w:szCs w:val="22"/>
              </w:rPr>
              <w:t xml:space="preserve">  </w:t>
            </w:r>
            <w:r>
              <w:rPr>
                <w:rFonts w:cs="Arial"/>
                <w:szCs w:val="22"/>
              </w:rPr>
              <w:t>συστήματος και των μονάδων υγείας στο δημόσιο και ιδιωτικό τομέα. Επίσης επιδιώκει την εκμάθηση των κανόνων ουσιαστικού δικαίου που διέπουν τις έννομες σχέσεις μονάδων υγείας-τρίτων, καθώς και μονάδων υγείας-επαγγελματιών υγείας-ληπτών υπηρεσιών υγείας/ασθενών. Περαιτέρω, εξετάζονται ο</w:t>
            </w:r>
            <w:r>
              <w:rPr>
                <w:szCs w:val="22"/>
              </w:rPr>
              <w:t xml:space="preserve">ι νομικές πράξεις των οργάνων των μονάδων υγείας καθώς και οι αρχές και ρυθμίσεις που διέπουν τη δράση τους.  Προσεγγίζονται οι υποχρεώσεις του προσωπικού κατά την άσκηση του ιατρικού, νοσηλευτικού, διοικητικού, οικονομικού και τεχνικού έργου  και αναδεικνύονται τα ζητήματα αστικής, ποινικής και πειθαρχικής ευθύνης τους. Τέλος αναπτύσσονται τα δικαιώματα των ληπτών υπηρεσιών υγείας και ο εξωδικαστικός και δικαστικός έλεγχος για λάθη οργανωτικά και επαγγελματικά. Ιδιαίτερη αναφορά γίνεται σε ρυθμίσεις για τα φάρμακα (Ενιαίος Κανονισμός Κοστολόγησης, ΕΟΦ και ΠΕΔΥΥ). </w:t>
            </w:r>
            <w:r>
              <w:rPr>
                <w:rFonts w:cs="Arial"/>
                <w:szCs w:val="22"/>
              </w:rPr>
              <w:t>Δίνεται έμφαση στη σύνδεσή του με γνωστικά αντικείμενα των επιστημονικών περιοχών της Διοίκησης-της Οικονομίας και της  Πληροφορικής της υγείας, όπως επίσης στην πληρέστερη αξιοποίησή του από το φοιτητή/τρια κατά την άσκηση του επαγγέλματός του ή τη συνέχιση των σπουδών του. Προαπαιτούμενη γνώση αποτελεί το μάθημα Εισαγωγή στο Δίκαιο, ενώ  είναι σημαντικό να έχει εξοικειωθεί και με άλλα μαθήματα Ειδικής Υποδομής.</w:t>
            </w:r>
            <w:r>
              <w:rPr>
                <w:szCs w:val="22"/>
              </w:rPr>
              <w:t xml:space="preserve"> </w:t>
            </w:r>
          </w:p>
          <w:p w:rsidR="00A67F05" w:rsidRDefault="00A67F05" w:rsidP="00A67F05">
            <w:pPr>
              <w:spacing w:line="276" w:lineRule="auto"/>
              <w:rPr>
                <w:rFonts w:cs="Arial"/>
                <w:szCs w:val="22"/>
              </w:rPr>
            </w:pPr>
            <w:r>
              <w:rPr>
                <w:rFonts w:cs="Arial"/>
                <w:szCs w:val="22"/>
              </w:rPr>
              <w:t xml:space="preserve">Με την επιτυχή ολοκλήρωση του μαθήματος «Δίκαιο της Υγείας», ο φοιτητής / </w:t>
            </w:r>
            <w:proofErr w:type="spellStart"/>
            <w:r>
              <w:rPr>
                <w:rFonts w:cs="Arial"/>
                <w:szCs w:val="22"/>
              </w:rPr>
              <w:t>τρια</w:t>
            </w:r>
            <w:proofErr w:type="spellEnd"/>
            <w:r>
              <w:rPr>
                <w:rFonts w:cs="Arial"/>
                <w:szCs w:val="22"/>
              </w:rPr>
              <w:t xml:space="preserve"> θα είναι σε θέση να:</w:t>
            </w:r>
          </w:p>
          <w:p w:rsidR="00A67F05" w:rsidRDefault="00A67F05" w:rsidP="00A67F05">
            <w:pPr>
              <w:pStyle w:val="a3"/>
              <w:numPr>
                <w:ilvl w:val="0"/>
                <w:numId w:val="1"/>
              </w:numPr>
              <w:spacing w:line="276" w:lineRule="auto"/>
              <w:ind w:left="284" w:hanging="284"/>
              <w:rPr>
                <w:rFonts w:cs="Arial"/>
                <w:szCs w:val="22"/>
              </w:rPr>
            </w:pPr>
            <w:r>
              <w:rPr>
                <w:rFonts w:cs="Arial"/>
                <w:szCs w:val="22"/>
              </w:rPr>
              <w:t xml:space="preserve">Κατανοεί τα θέματα που περιλαμβάνονται στο δίκαιο της υγείας. </w:t>
            </w:r>
          </w:p>
          <w:p w:rsidR="00A67F05" w:rsidRDefault="00A67F05" w:rsidP="00A67F05">
            <w:pPr>
              <w:pStyle w:val="a3"/>
              <w:numPr>
                <w:ilvl w:val="0"/>
                <w:numId w:val="1"/>
              </w:numPr>
              <w:spacing w:line="276" w:lineRule="auto"/>
              <w:ind w:left="284" w:hanging="284"/>
              <w:rPr>
                <w:rFonts w:cs="Arial"/>
                <w:szCs w:val="22"/>
              </w:rPr>
            </w:pPr>
            <w:r>
              <w:rPr>
                <w:rFonts w:cs="Arial"/>
                <w:szCs w:val="22"/>
              </w:rPr>
              <w:t xml:space="preserve">Αξιοποιεί τον τρόπο σκέψης και τη μέθοδο που διδάχτηκε σε νομικά ζητήματα του δικαίου της υγείας. </w:t>
            </w:r>
          </w:p>
          <w:p w:rsidR="00A67F05" w:rsidRDefault="00A67F05" w:rsidP="00A67F05">
            <w:pPr>
              <w:pStyle w:val="a3"/>
              <w:numPr>
                <w:ilvl w:val="0"/>
                <w:numId w:val="1"/>
              </w:numPr>
              <w:spacing w:line="276" w:lineRule="auto"/>
              <w:ind w:left="284" w:hanging="284"/>
              <w:rPr>
                <w:rFonts w:cs="Arial"/>
                <w:szCs w:val="22"/>
              </w:rPr>
            </w:pPr>
            <w:r>
              <w:rPr>
                <w:rFonts w:cs="Arial"/>
                <w:szCs w:val="22"/>
              </w:rPr>
              <w:t>Διατυπώνει έννοιες και ορισμούς για το δίκαιο της υγείας και τις αρχές του</w:t>
            </w:r>
          </w:p>
          <w:p w:rsidR="00A67F05" w:rsidRDefault="00A67F05" w:rsidP="00A67F05">
            <w:pPr>
              <w:pStyle w:val="a3"/>
              <w:numPr>
                <w:ilvl w:val="0"/>
                <w:numId w:val="1"/>
              </w:numPr>
              <w:spacing w:line="276" w:lineRule="auto"/>
              <w:ind w:left="284" w:hanging="284"/>
              <w:rPr>
                <w:rFonts w:cs="Arial"/>
                <w:szCs w:val="22"/>
              </w:rPr>
            </w:pPr>
            <w:r>
              <w:rPr>
                <w:rFonts w:cs="Arial"/>
                <w:szCs w:val="22"/>
              </w:rPr>
              <w:t>Γνωρίζει τις πηγές του δικαίου της υγείας στην Ευρωπαϊκή Ένωση και στην Ελλάδα</w:t>
            </w:r>
          </w:p>
          <w:p w:rsidR="00A67F05" w:rsidRPr="00A67F05" w:rsidRDefault="00A67F05" w:rsidP="00A67F05">
            <w:pPr>
              <w:pStyle w:val="a3"/>
              <w:numPr>
                <w:ilvl w:val="0"/>
                <w:numId w:val="1"/>
              </w:numPr>
              <w:spacing w:line="276" w:lineRule="auto"/>
              <w:ind w:left="284" w:hanging="284"/>
              <w:rPr>
                <w:rFonts w:cs="Arial"/>
                <w:szCs w:val="22"/>
              </w:rPr>
            </w:pPr>
            <w:r>
              <w:rPr>
                <w:rFonts w:cs="Arial"/>
                <w:szCs w:val="22"/>
              </w:rPr>
              <w:t>Γνωρίζει τους οργανωτικούς και λειτουργικούς νόμους και κανονιστικές πράξεις της δημόσιας διοίκησης που διέπουν το σύστημα και τις μονάδες υγείας στο δημόσιο και ιδιωτικό τομέα.</w:t>
            </w:r>
          </w:p>
          <w:p w:rsidR="00A67F05" w:rsidRDefault="00A67F05" w:rsidP="00A67F05">
            <w:pPr>
              <w:pStyle w:val="a3"/>
              <w:spacing w:line="276" w:lineRule="auto"/>
              <w:ind w:left="284"/>
              <w:rPr>
                <w:rFonts w:cs="Arial"/>
                <w:szCs w:val="22"/>
              </w:rPr>
            </w:pPr>
          </w:p>
          <w:p w:rsidR="00A67F05" w:rsidRPr="00A67F05" w:rsidRDefault="00A67F05" w:rsidP="00A67F05">
            <w:pPr>
              <w:pStyle w:val="a3"/>
              <w:numPr>
                <w:ilvl w:val="0"/>
                <w:numId w:val="1"/>
              </w:numPr>
              <w:spacing w:line="276" w:lineRule="auto"/>
              <w:ind w:left="284" w:hanging="284"/>
              <w:rPr>
                <w:rFonts w:cs="Arial"/>
                <w:szCs w:val="22"/>
              </w:rPr>
            </w:pPr>
            <w:r>
              <w:rPr>
                <w:rFonts w:cs="Arial"/>
                <w:szCs w:val="22"/>
              </w:rPr>
              <w:lastRenderedPageBreak/>
              <w:t>Αναφέρει τις έννομες σχέσεις μονάδων υγείας και</w:t>
            </w:r>
            <w:r w:rsidRPr="00A67F05">
              <w:rPr>
                <w:rFonts w:cs="Arial"/>
                <w:szCs w:val="22"/>
              </w:rPr>
              <w:t xml:space="preserve"> τρί</w:t>
            </w:r>
            <w:r>
              <w:rPr>
                <w:rFonts w:cs="Arial"/>
                <w:szCs w:val="22"/>
              </w:rPr>
              <w:t>των</w:t>
            </w:r>
            <w:r w:rsidRPr="00A67F05">
              <w:rPr>
                <w:rFonts w:cs="Arial"/>
                <w:szCs w:val="22"/>
              </w:rPr>
              <w:t xml:space="preserve"> </w:t>
            </w:r>
          </w:p>
          <w:p w:rsidR="00A67F05" w:rsidRDefault="00A67F05" w:rsidP="00A67F05">
            <w:pPr>
              <w:pStyle w:val="a3"/>
              <w:numPr>
                <w:ilvl w:val="0"/>
                <w:numId w:val="1"/>
              </w:numPr>
              <w:spacing w:line="276" w:lineRule="auto"/>
              <w:ind w:left="284" w:hanging="284"/>
              <w:rPr>
                <w:rFonts w:cs="Arial"/>
                <w:szCs w:val="22"/>
              </w:rPr>
            </w:pPr>
            <w:r>
              <w:rPr>
                <w:rFonts w:cs="Arial"/>
                <w:szCs w:val="22"/>
              </w:rPr>
              <w:t>Εξηγεί τις έννομες σχέσεις μονάδων υγείας-επαγγελματιών υγείας-ληπτών υπηρεσιών/ασθενών</w:t>
            </w:r>
          </w:p>
          <w:p w:rsidR="00A67F05" w:rsidRDefault="00A67F05" w:rsidP="00A67F05">
            <w:pPr>
              <w:pStyle w:val="a3"/>
              <w:numPr>
                <w:ilvl w:val="0"/>
                <w:numId w:val="1"/>
              </w:numPr>
              <w:spacing w:line="276" w:lineRule="auto"/>
              <w:ind w:left="284" w:hanging="284"/>
              <w:rPr>
                <w:rFonts w:cs="Arial"/>
                <w:szCs w:val="22"/>
              </w:rPr>
            </w:pPr>
            <w:r>
              <w:rPr>
                <w:rFonts w:cs="Arial"/>
                <w:szCs w:val="22"/>
              </w:rPr>
              <w:t>Εκθέτει τα ζητήματα αστικής-ποινικής και πειθαρχικής ευθύνης που προκύπτουν από τα οργανωτικά ή επαγγελματικά λάθη.</w:t>
            </w:r>
          </w:p>
          <w:p w:rsidR="00A67F05" w:rsidRDefault="00A67F05" w:rsidP="00A67F05">
            <w:pPr>
              <w:pStyle w:val="a3"/>
              <w:numPr>
                <w:ilvl w:val="0"/>
                <w:numId w:val="1"/>
              </w:numPr>
              <w:spacing w:line="276" w:lineRule="auto"/>
              <w:ind w:left="284" w:hanging="284"/>
              <w:rPr>
                <w:rFonts w:cs="Arial"/>
                <w:szCs w:val="22"/>
              </w:rPr>
            </w:pPr>
            <w:r>
              <w:rPr>
                <w:rFonts w:cs="Arial"/>
                <w:szCs w:val="22"/>
              </w:rPr>
              <w:t>Παρουσιάζει τα δικαιώματα των ληπτών υπηρεσιών/ασθενών καθώς και την εξώδικη και δικαστική προστασία τους</w:t>
            </w:r>
          </w:p>
          <w:p w:rsidR="00A67F05" w:rsidRDefault="00A67F05" w:rsidP="00A67F05">
            <w:pPr>
              <w:pStyle w:val="a3"/>
              <w:numPr>
                <w:ilvl w:val="0"/>
                <w:numId w:val="1"/>
              </w:numPr>
              <w:spacing w:line="276" w:lineRule="auto"/>
              <w:ind w:left="284" w:hanging="284"/>
              <w:rPr>
                <w:rFonts w:cs="Arial"/>
                <w:szCs w:val="22"/>
              </w:rPr>
            </w:pPr>
            <w:r>
              <w:rPr>
                <w:rFonts w:cs="Arial"/>
                <w:szCs w:val="22"/>
              </w:rPr>
              <w:t>Κάνει περιορισμένες αναφορές στις ρυθμίσεις για τα φάρμακα</w:t>
            </w:r>
          </w:p>
          <w:p w:rsidR="00A67F05" w:rsidRDefault="00A67F05" w:rsidP="00A67F05">
            <w:pPr>
              <w:pStyle w:val="a3"/>
              <w:numPr>
                <w:ilvl w:val="0"/>
                <w:numId w:val="1"/>
              </w:numPr>
              <w:spacing w:line="276" w:lineRule="auto"/>
              <w:ind w:left="284" w:hanging="284"/>
              <w:rPr>
                <w:rFonts w:cs="Arial"/>
                <w:szCs w:val="22"/>
              </w:rPr>
            </w:pPr>
            <w:r>
              <w:rPr>
                <w:rFonts w:cs="Arial"/>
                <w:szCs w:val="22"/>
              </w:rPr>
              <w:t xml:space="preserve"> Εφαρμόζει τις γνώσεις του δικαίου της υγείας που απέκτησε στην άσκηση του επαγγέλματός του, αναγνωρίζει τα νομικά προβλήματα και προτείνει λύσεις.</w:t>
            </w:r>
          </w:p>
          <w:p w:rsidR="00A67F05" w:rsidRDefault="00A67F05" w:rsidP="00A67F05">
            <w:pPr>
              <w:spacing w:line="276" w:lineRule="auto"/>
            </w:pPr>
          </w:p>
          <w:p w:rsidR="00A67F05" w:rsidRPr="00A67F05" w:rsidRDefault="00A67F05" w:rsidP="00E53ED8">
            <w:pPr>
              <w:rPr>
                <w:rFonts w:cs="Arial"/>
                <w:szCs w:val="22"/>
              </w:rPr>
            </w:pPr>
          </w:p>
        </w:tc>
      </w:tr>
    </w:tbl>
    <w:p w:rsidR="007037D1" w:rsidRDefault="007037D1" w:rsidP="00A67F05">
      <w:pPr>
        <w:spacing w:after="0" w:line="240" w:lineRule="auto"/>
      </w:pPr>
    </w:p>
    <w:sectPr w:rsidR="007037D1" w:rsidSect="007037D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FC1BA2"/>
    <w:multiLevelType w:val="hybridMultilevel"/>
    <w:tmpl w:val="316076F0"/>
    <w:lvl w:ilvl="0" w:tplc="0408000F">
      <w:start w:val="1"/>
      <w:numFmt w:val="bullet"/>
      <w:lvlText w:val=""/>
      <w:lvlJc w:val="left"/>
      <w:pPr>
        <w:ind w:left="1174"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3ED8"/>
    <w:rsid w:val="007037D1"/>
    <w:rsid w:val="00A6310D"/>
    <w:rsid w:val="00A67F05"/>
    <w:rsid w:val="00B25CD3"/>
    <w:rsid w:val="00D67661"/>
    <w:rsid w:val="00E53ED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ED8"/>
    <w:pPr>
      <w:jc w:val="both"/>
    </w:pPr>
    <w:rPr>
      <w:rFonts w:ascii="Calibri" w:eastAsia="Times New Roman" w:hAnsi="Calibri" w:cs="Times New Roman"/>
      <w:color w:val="17365D"/>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3ED8"/>
    <w:pPr>
      <w:ind w:left="720"/>
      <w:contextualSpacing/>
    </w:pPr>
  </w:style>
  <w:style w:type="table" w:styleId="a4">
    <w:name w:val="Table Grid"/>
    <w:basedOn w:val="a1"/>
    <w:uiPriority w:val="59"/>
    <w:rsid w:val="00A67F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A67F05"/>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A67F05"/>
    <w:rPr>
      <w:rFonts w:ascii="Tahoma" w:eastAsia="Times New Roman" w:hAnsi="Tahoma" w:cs="Tahoma"/>
      <w:color w:val="17365D"/>
      <w:sz w:val="16"/>
      <w:szCs w:val="16"/>
    </w:rPr>
  </w:style>
</w:styles>
</file>

<file path=word/webSettings.xml><?xml version="1.0" encoding="utf-8"?>
<w:webSettings xmlns:r="http://schemas.openxmlformats.org/officeDocument/2006/relationships" xmlns:w="http://schemas.openxmlformats.org/wordprocessingml/2006/main">
  <w:divs>
    <w:div w:id="53701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471</Words>
  <Characters>2544</Characters>
  <Application>Microsoft Office Word</Application>
  <DocSecurity>0</DocSecurity>
  <Lines>21</Lines>
  <Paragraphs>6</Paragraphs>
  <ScaleCrop>false</ScaleCrop>
  <Company>Info-Quest</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2015-06-08T09:17:00Z</dcterms:created>
  <dcterms:modified xsi:type="dcterms:W3CDTF">2015-06-08T09:45:00Z</dcterms:modified>
</cp:coreProperties>
</file>