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ED17FD" w:rsidRPr="00ED17FD" w:rsidTr="00ED17FD">
        <w:trPr>
          <w:tblCellSpacing w:w="15" w:type="dxa"/>
        </w:trPr>
        <w:tc>
          <w:tcPr>
            <w:tcW w:w="5000" w:type="pct"/>
            <w:noWrap/>
            <w:hideMark/>
          </w:tcPr>
          <w:p w:rsidR="00ED17FD" w:rsidRPr="00ED17FD" w:rsidRDefault="00ED17FD" w:rsidP="00ED17F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ED17FD">
              <w:rPr>
                <w:rFonts w:ascii="Times New Roman"/>
                <w:sz w:val="24"/>
                <w:szCs w:val="24"/>
              </w:rPr>
              <w:t>ΝΟΜΟΣ - </w:t>
            </w:r>
            <w:r w:rsidRPr="00ED17FD">
              <w:rPr>
                <w:rFonts w:ascii="Times New Roman"/>
                <w:b/>
                <w:bCs/>
                <w:sz w:val="24"/>
                <w:szCs w:val="24"/>
              </w:rPr>
              <w:t>2071</w:t>
            </w:r>
            <w:r w:rsidRPr="00ED17FD">
              <w:rPr>
                <w:rFonts w:ascii="Times New Roman"/>
                <w:sz w:val="24"/>
                <w:szCs w:val="24"/>
              </w:rPr>
              <w:t> - </w:t>
            </w:r>
            <w:r w:rsidRPr="00ED17FD">
              <w:rPr>
                <w:rFonts w:ascii="Times New Roman"/>
                <w:b/>
                <w:bCs/>
                <w:sz w:val="24"/>
                <w:szCs w:val="24"/>
              </w:rPr>
              <w:t>1992</w:t>
            </w:r>
          </w:p>
        </w:tc>
      </w:tr>
    </w:tbl>
    <w:p w:rsidR="00ED17FD" w:rsidRPr="00ED17FD" w:rsidRDefault="00ED17FD" w:rsidP="00ED17FD">
      <w:pPr>
        <w:spacing w:after="0" w:line="240" w:lineRule="auto"/>
        <w:rPr>
          <w:rFonts w:ascii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968"/>
      </w:tblGrid>
      <w:tr w:rsidR="00ED17FD" w:rsidRPr="00ED17FD" w:rsidTr="00ED17FD">
        <w:trPr>
          <w:tblCellSpacing w:w="15" w:type="dxa"/>
        </w:trPr>
        <w:tc>
          <w:tcPr>
            <w:tcW w:w="0" w:type="auto"/>
            <w:tcBorders>
              <w:top w:val="single" w:sz="2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7F9D2"/>
            <w:hideMark/>
          </w:tcPr>
          <w:p w:rsidR="00ED17FD" w:rsidRPr="00ED17FD" w:rsidRDefault="00ED17FD" w:rsidP="00ED17FD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Αρθρο</w:t>
            </w:r>
            <w:proofErr w:type="spellEnd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7F9D2"/>
            <w:hideMark/>
          </w:tcPr>
          <w:p w:rsidR="00ED17FD" w:rsidRPr="00ED17FD" w:rsidRDefault="00ED17FD" w:rsidP="00ED17FD">
            <w:pPr>
              <w:spacing w:after="0" w:line="240" w:lineRule="auto"/>
              <w:rPr>
                <w:rFonts w:ascii="Verdana" w:hAnsi="Verdana"/>
                <w:color w:val="000000"/>
                <w:sz w:val="15"/>
                <w:szCs w:val="15"/>
              </w:rPr>
            </w:pPr>
            <w:r w:rsidRPr="00ED17FD">
              <w:rPr>
                <w:rFonts w:ascii="Verdana" w:hAnsi="Verdana"/>
                <w:color w:val="000000"/>
                <w:sz w:val="15"/>
                <w:szCs w:val="15"/>
              </w:rPr>
              <w:t>47</w:t>
            </w:r>
          </w:p>
        </w:tc>
      </w:tr>
      <w:tr w:rsidR="00ED17FD" w:rsidRPr="00ED17FD" w:rsidTr="00ED17FD">
        <w:trPr>
          <w:tblCellSpacing w:w="15" w:type="dxa"/>
        </w:trPr>
        <w:tc>
          <w:tcPr>
            <w:tcW w:w="0" w:type="auto"/>
            <w:tcBorders>
              <w:top w:val="single" w:sz="2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7F9D2"/>
            <w:hideMark/>
          </w:tcPr>
          <w:p w:rsidR="00ED17FD" w:rsidRPr="00ED17FD" w:rsidRDefault="00ED17FD" w:rsidP="00ED17FD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Ημ</w:t>
            </w:r>
            <w:proofErr w:type="spellEnd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/</w:t>
            </w:r>
            <w:proofErr w:type="spellStart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νί</w:t>
            </w:r>
            <w:proofErr w:type="spellEnd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α: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7F9D2"/>
            <w:hideMark/>
          </w:tcPr>
          <w:p w:rsidR="00ED17FD" w:rsidRPr="00ED17FD" w:rsidRDefault="00ED17FD" w:rsidP="00ED17FD">
            <w:pPr>
              <w:spacing w:after="0" w:line="240" w:lineRule="auto"/>
              <w:rPr>
                <w:rFonts w:ascii="Verdana" w:hAnsi="Verdana"/>
                <w:color w:val="000000"/>
                <w:sz w:val="15"/>
                <w:szCs w:val="15"/>
              </w:rPr>
            </w:pPr>
            <w:r w:rsidRPr="00ED17FD">
              <w:rPr>
                <w:rFonts w:ascii="Verdana" w:hAnsi="Verdana"/>
                <w:color w:val="000000"/>
                <w:sz w:val="15"/>
                <w:szCs w:val="15"/>
              </w:rPr>
              <w:t>15.07.1992</w:t>
            </w:r>
          </w:p>
        </w:tc>
      </w:tr>
      <w:tr w:rsidR="00ED17FD" w:rsidRPr="00ED17FD" w:rsidTr="00ED17FD">
        <w:trPr>
          <w:tblCellSpacing w:w="15" w:type="dxa"/>
        </w:trPr>
        <w:tc>
          <w:tcPr>
            <w:tcW w:w="0" w:type="auto"/>
            <w:tcBorders>
              <w:top w:val="single" w:sz="2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7F9D2"/>
            <w:hideMark/>
          </w:tcPr>
          <w:p w:rsidR="00ED17FD" w:rsidRPr="00ED17FD" w:rsidRDefault="00ED17FD" w:rsidP="00ED17FD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Ημ</w:t>
            </w:r>
            <w:proofErr w:type="spellEnd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/</w:t>
            </w:r>
            <w:proofErr w:type="spellStart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νί</w:t>
            </w:r>
            <w:proofErr w:type="spellEnd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α </w:t>
            </w:r>
            <w:proofErr w:type="spellStart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Ισχύος</w:t>
            </w:r>
            <w:proofErr w:type="spellEnd"/>
            <w:r w:rsidRPr="00ED17FD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shd w:val="clear" w:color="auto" w:fill="F7F9D2"/>
            <w:hideMark/>
          </w:tcPr>
          <w:p w:rsidR="00ED17FD" w:rsidRPr="00ED17FD" w:rsidRDefault="00ED17FD" w:rsidP="00ED17FD">
            <w:pPr>
              <w:spacing w:after="0" w:line="240" w:lineRule="auto"/>
              <w:rPr>
                <w:rFonts w:ascii="Verdana" w:hAnsi="Verdana"/>
                <w:color w:val="000000"/>
                <w:sz w:val="15"/>
                <w:szCs w:val="15"/>
              </w:rPr>
            </w:pPr>
            <w:r w:rsidRPr="00ED17FD">
              <w:rPr>
                <w:rFonts w:ascii="Verdana" w:hAnsi="Verdana"/>
                <w:color w:val="000000"/>
                <w:sz w:val="15"/>
                <w:szCs w:val="15"/>
              </w:rPr>
              <w:t>15.07.1992</w:t>
            </w:r>
          </w:p>
        </w:tc>
      </w:tr>
    </w:tbl>
    <w:p w:rsidR="00ED17FD" w:rsidRPr="00ED17FD" w:rsidRDefault="00ED17FD" w:rsidP="00ED17FD">
      <w:pPr>
        <w:spacing w:after="0" w:line="240" w:lineRule="auto"/>
        <w:rPr>
          <w:rFonts w:ascii="Times New Roman"/>
          <w:vanish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D17FD" w:rsidRPr="00ED17FD" w:rsidTr="00ED1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7FD" w:rsidRPr="00ED17FD" w:rsidRDefault="00ED17FD" w:rsidP="00ED17F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:rsidR="00ED17FD" w:rsidRPr="00ED17FD" w:rsidRDefault="00ED17FD" w:rsidP="00ED17FD">
      <w:pPr>
        <w:spacing w:after="0" w:line="240" w:lineRule="auto"/>
        <w:rPr>
          <w:rFonts w:ascii="Times New Roman"/>
          <w:vanish/>
          <w:sz w:val="24"/>
          <w:szCs w:val="24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17FD" w:rsidRPr="00ED17FD" w:rsidTr="00ED17FD">
        <w:trPr>
          <w:tblCellSpacing w:w="15" w:type="dxa"/>
        </w:trPr>
        <w:tc>
          <w:tcPr>
            <w:tcW w:w="0" w:type="auto"/>
            <w:hideMark/>
          </w:tcPr>
          <w:p w:rsidR="00ED17FD" w:rsidRPr="00ED17FD" w:rsidRDefault="00ED17FD" w:rsidP="00ED17F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ED17FD">
              <w:rPr>
                <w:rFonts w:ascii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D17FD" w:rsidRPr="00ED17FD" w:rsidTr="00ED17FD">
        <w:trPr>
          <w:tblCellSpacing w:w="15" w:type="dxa"/>
        </w:trPr>
        <w:tc>
          <w:tcPr>
            <w:tcW w:w="0" w:type="auto"/>
            <w:hideMark/>
          </w:tcPr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Τίτλος </w:t>
            </w:r>
            <w:proofErr w:type="spellStart"/>
            <w:r w:rsidRPr="00ED17FD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Αρθρου</w:t>
            </w:r>
            <w:proofErr w:type="spellEnd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br/>
              <w:t>Τα δικαιώματα του νοσοκομειακού ασθενούς.</w:t>
            </w:r>
          </w:p>
        </w:tc>
      </w:tr>
    </w:tbl>
    <w:p w:rsidR="00ED17FD" w:rsidRPr="00ED17FD" w:rsidRDefault="00ED17FD" w:rsidP="00ED17FD">
      <w:pPr>
        <w:spacing w:after="0" w:line="240" w:lineRule="auto"/>
        <w:rPr>
          <w:rFonts w:ascii="Times New Roman"/>
          <w:sz w:val="24"/>
          <w:szCs w:val="24"/>
        </w:rPr>
      </w:pPr>
      <w:r w:rsidRPr="00ED17FD">
        <w:rPr>
          <w:rFonts w:ascii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ED17FD" w:rsidRPr="00ED17FD" w:rsidRDefault="00ED17FD" w:rsidP="00ED17FD">
      <w:pPr>
        <w:spacing w:after="0" w:line="240" w:lineRule="auto"/>
        <w:rPr>
          <w:rFonts w:ascii="Times New Roman"/>
          <w:sz w:val="24"/>
          <w:szCs w:val="24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17FD" w:rsidRPr="00ED17FD" w:rsidTr="00ED17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ΔΕΥΤΕΡΟΒΑΘΜΙΑ ΚΑΙ ΤΡΙΤΟΒΑΘΜΙΑ ΠΕΡΙΘΑΛΨΗ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1. Ο ασθενής έχει το δικαίωμα προσεγγίσεως στις υπηρεσίες του νοσοκομείου, πλέον κατάλληλες για τη φύση της ασθένειάς του.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2. Ο ασθενής έχει το δικαίωμα της </w:t>
            </w:r>
            <w:proofErr w:type="spellStart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περοχής</w:t>
            </w:r>
            <w:proofErr w:type="spellEnd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φροντίδας σ</w:t>
            </w:r>
            <w:r w:rsidRPr="00ED17FD">
              <w:rPr>
                <w:rFonts w:ascii="Arial" w:hAnsi="Arial" w:cs="Arial"/>
                <w:sz w:val="20"/>
                <w:szCs w:val="20"/>
              </w:rPr>
              <w:t></w:t>
            </w: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αυτόν με τον οφειλόμενο σεβασμό στην ανθρώπινη αξιοπρέπειά του. Αυτή η φροντίδα περιλαμβάνει όχι μόνο την εν γένει άσκηση της ιατρικής και της νοσηλευτικής, αλλά και τις παραϊατρικές υπηρεσίες, την κατάλληλη διαμονή, την κατάλληλη μεταχείριση και την κατάλληλη </w:t>
            </w:r>
            <w:proofErr w:type="spellStart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μεταχείρηση</w:t>
            </w:r>
            <w:proofErr w:type="spellEnd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και την αποτελεσματική διοικητική και τεχνική εξυπηρέτηση.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3. Ο ασθενής έχει το δικαίωμα να συγκατατεθεί ή να αρνηθεί κάθε διαγνωστική ή θεραπευτική πράξη που πρόκειται να διενεργηθεί σε αυτόν. Σε περίπτωση ασθενούς με μερική ή πλήρη διανοητική ανικανότητα, η άσκηση αυτού του δικαιώματος γίνεται από το πρόσωπο που κατά νόμο ενεργεί για λογαριασμό του.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4. Ο ασθενής δικαιούται να ζητήσει να πληροφορηθεί, ό,τι αφορά στην κατάστασή του. Το συμφέρον του ασθενούς είναι καθοριστικό και εξαρτάται από την πληρότητα και ακρίβεια των πληροφοριών που του δίνονται. Η πληροφόρηση του ασθενούς πρέπει να του επιτρέπει να σχηματίσει πλήρη εικόνα των ιατρικών, κοινωνικών και οικονομικών παραμέτρων της </w:t>
            </w:r>
            <w:proofErr w:type="spellStart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κατατάσεώς</w:t>
            </w:r>
            <w:proofErr w:type="spellEnd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και να λαμβάνει αποφάσεις ο ίδιος ή να μετέχει στη λήψη αποφάσεων, που είναι δυνατό να προδικαστούν τη μετέπειτα ζωή του.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5. Ο ασθενής ή ο εκπρόσωπός του σε περίπτωση εφαρμογής της παρ. 3, έχει το δικαίωμα να πληροφορηθεί, πλήρως και εκ των προτέρων, για τους κινδύνους που ενδέχεται να παρουσιασθούν ή να προκύψουν εξ αφορμής εφαρμογής σε αυτόν </w:t>
            </w:r>
            <w:proofErr w:type="spellStart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ασυνήθων</w:t>
            </w:r>
            <w:proofErr w:type="spellEnd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ή πειραματικών διαγνωστικών και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θεραπευτικών πράξεων. Η εφαρμογή των πράξεων αυτών στον ασθενή λαμβάνει χώρα μόνο ύστερα από συγκεκριμένη συγκατάθεση του ίδιου. Η συγκατάθεση αυτή μπορεί να ανακληθεί από τον ασθενή ανά πάσα στιγμή. Ο ασθενής πρέπει να αισθάνεται τελείως ελεύθερος στην απόφασή του, να δεχθεί ή να απορρίψει, κάθε συνεργασία του με σκοπό την έρευνα ή την εκπαίδευση. Η συγκατάθεσή του για τυχόν συμμετοχή του, είναι δικαίωμά του και μπορεί να ανακληθεί ανά πάσα στιγμή.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6. Ο ασθενής έχει το δικαίωμα, στο μέτρο και στις πραγματικές συνθήκες που αυτό είναι δυνατό, προστασίας της ιδιωτικής του ζωής. Ο απόρρητος χαρακτήρας των πληροφορικών και του περιεχομένου των εγγράφων που τον αφορούν, του φάκελου των ιατρικών σημειώσεων και ευρημάτων, πρέπει να είναι εγγυημένος.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7. Ο ασθενής έχει το δικαίωμα του σεβασμού και της αναγνωρίσεως σ</w:t>
            </w:r>
            <w:r w:rsidRPr="00ED17FD">
              <w:rPr>
                <w:rFonts w:ascii="Arial" w:hAnsi="Arial" w:cs="Arial"/>
                <w:sz w:val="20"/>
                <w:szCs w:val="20"/>
              </w:rPr>
              <w:t></w:t>
            </w: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αυτόν των θρησκευτικών και ιδεολογικών του πεποιθήσεων.</w:t>
            </w:r>
          </w:p>
          <w:p w:rsidR="00ED17FD" w:rsidRPr="00ED17FD" w:rsidRDefault="00ED17FD" w:rsidP="00ED17F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8. Ο ασθενής έχει το δικαίωμα να παρουσιάσει ή να καταθέσει αρμοδίως διαμαρτυρίες και ενστάσεις και να λάβει πλήρη γνώση των </w:t>
            </w:r>
            <w:proofErr w:type="spellStart"/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>επ</w:t>
            </w:r>
            <w:proofErr w:type="spellEnd"/>
            <w:r w:rsidRPr="00ED17FD">
              <w:rPr>
                <w:rFonts w:ascii="Arial" w:hAnsi="Arial" w:cs="Arial"/>
                <w:sz w:val="20"/>
                <w:szCs w:val="20"/>
              </w:rPr>
              <w:t></w:t>
            </w:r>
            <w:r w:rsidRPr="00ED17FD">
              <w:rPr>
                <w:rFonts w:ascii="Arial" w:hAnsi="Arial" w:cs="Arial"/>
                <w:sz w:val="20"/>
                <w:szCs w:val="20"/>
                <w:lang w:val="el-GR"/>
              </w:rPr>
              <w:t xml:space="preserve"> αυτών ενεργειών και αποτελεσμάτων.</w:t>
            </w:r>
          </w:p>
        </w:tc>
      </w:tr>
    </w:tbl>
    <w:p w:rsidR="00C75498" w:rsidRPr="00ED17FD" w:rsidRDefault="00C75498">
      <w:pPr>
        <w:rPr>
          <w:lang w:val="el-GR"/>
        </w:rPr>
      </w:pPr>
    </w:p>
    <w:sectPr w:rsidR="00C75498" w:rsidRPr="00ED17FD" w:rsidSect="009654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FD"/>
    <w:rsid w:val="009654ED"/>
    <w:rsid w:val="00C75498"/>
    <w:rsid w:val="00E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4ED8"/>
  <w15:chartTrackingRefBased/>
  <w15:docId w15:val="{DB3DC732-68EB-42B2-B730-2C47BC77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Theodorou</dc:creator>
  <cp:keywords/>
  <dc:description/>
  <cp:lastModifiedBy>Konstantinos Theodorou</cp:lastModifiedBy>
  <cp:revision>1</cp:revision>
  <dcterms:created xsi:type="dcterms:W3CDTF">2018-02-28T22:49:00Z</dcterms:created>
  <dcterms:modified xsi:type="dcterms:W3CDTF">2018-02-28T22:52:00Z</dcterms:modified>
</cp:coreProperties>
</file>