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298" w:rsidRPr="00FC0298" w:rsidRDefault="00FC0298" w:rsidP="00FC0298">
      <w:pPr>
        <w:pStyle w:val="ListParagraph"/>
        <w:numPr>
          <w:ilvl w:val="0"/>
          <w:numId w:val="13"/>
        </w:numPr>
        <w:jc w:val="right"/>
        <w:rPr>
          <w:lang w:val="en-US"/>
        </w:rPr>
      </w:pPr>
      <w:r>
        <w:t xml:space="preserve">Γαλανοπούλου </w:t>
      </w:r>
    </w:p>
    <w:p w:rsidR="0097035C" w:rsidRDefault="00632950" w:rsidP="00632950">
      <w:pPr>
        <w:pStyle w:val="ListParagraph"/>
        <w:numPr>
          <w:ilvl w:val="0"/>
          <w:numId w:val="1"/>
        </w:numPr>
        <w:ind w:left="284" w:hanging="284"/>
      </w:pPr>
      <w:r>
        <w:t>Χαρακτηρίστε τις παρακάτω προτάσεις ως σωστές (Σ) ή λάθος (Λ)</w:t>
      </w:r>
    </w:p>
    <w:p w:rsidR="00632950" w:rsidRDefault="00632950" w:rsidP="00632950">
      <w:pPr>
        <w:pStyle w:val="ListParagraph"/>
        <w:ind w:left="284"/>
      </w:pPr>
    </w:p>
    <w:p w:rsidR="00632950" w:rsidRDefault="00632950" w:rsidP="003F4D55">
      <w:pPr>
        <w:pStyle w:val="ListParagraph"/>
        <w:numPr>
          <w:ilvl w:val="0"/>
          <w:numId w:val="5"/>
        </w:numPr>
        <w:jc w:val="both"/>
      </w:pPr>
      <w:r>
        <w:t>Ο ρόλος της ενισχυτικής πινακίδας είναι η μείωση της δόσης στον εξεταζόμενο</w:t>
      </w:r>
    </w:p>
    <w:p w:rsidR="00632950" w:rsidRDefault="00632950" w:rsidP="003F4D55">
      <w:pPr>
        <w:pStyle w:val="ListParagraph"/>
        <w:numPr>
          <w:ilvl w:val="0"/>
          <w:numId w:val="5"/>
        </w:numPr>
        <w:jc w:val="both"/>
      </w:pPr>
      <w:r>
        <w:t>Χαρακτηριστικό της ενισχυτικής πινακίδας είναι η ταχύτητα</w:t>
      </w:r>
    </w:p>
    <w:p w:rsidR="00632950" w:rsidRPr="00F85F04" w:rsidRDefault="00632950" w:rsidP="003F4D55">
      <w:pPr>
        <w:pStyle w:val="ListParagraph"/>
        <w:numPr>
          <w:ilvl w:val="0"/>
          <w:numId w:val="5"/>
        </w:numPr>
        <w:jc w:val="both"/>
      </w:pPr>
      <w:r w:rsidRPr="00F85F04">
        <w:t>Ο ρόλος της ενισχυτικής πινακίδας είναι η ανάπτυξη ικανοποιητικής οπτικής πυκνότητας στο film</w:t>
      </w:r>
    </w:p>
    <w:p w:rsidR="00632950" w:rsidRDefault="00632950" w:rsidP="003F4D55">
      <w:pPr>
        <w:pStyle w:val="ListParagraph"/>
        <w:numPr>
          <w:ilvl w:val="0"/>
          <w:numId w:val="5"/>
        </w:numPr>
        <w:jc w:val="both"/>
      </w:pPr>
      <w:r>
        <w:t>Η ταχύτητα της ενισχυτικής πινακίδας είναι κατασκευαστικό χαρακτηριστικό</w:t>
      </w:r>
    </w:p>
    <w:p w:rsidR="00632950" w:rsidRDefault="00632950" w:rsidP="003F4D55">
      <w:pPr>
        <w:pStyle w:val="ListParagraph"/>
        <w:numPr>
          <w:ilvl w:val="0"/>
          <w:numId w:val="5"/>
        </w:numPr>
        <w:jc w:val="both"/>
      </w:pPr>
      <w:r>
        <w:t>Το μειονέκτημα της ενισχυτικής πινακίδας είναι η δημιουργία ασάφειας στην ακτινολογική εικόνα</w:t>
      </w:r>
    </w:p>
    <w:p w:rsidR="00632950" w:rsidRDefault="00632950" w:rsidP="003F4D55">
      <w:pPr>
        <w:pStyle w:val="ListParagraph"/>
        <w:numPr>
          <w:ilvl w:val="0"/>
          <w:numId w:val="5"/>
        </w:numPr>
        <w:jc w:val="both"/>
      </w:pPr>
      <w:r>
        <w:t>Το ενεργό τμήμα της ενισχυτικής πινακίδας περιέχει κρυστάλλους Βρωμιούχου  Αργύρου (AgBr)</w:t>
      </w:r>
    </w:p>
    <w:p w:rsidR="00632950" w:rsidRDefault="00632950" w:rsidP="003F4D55">
      <w:pPr>
        <w:pStyle w:val="ListParagraph"/>
        <w:numPr>
          <w:ilvl w:val="0"/>
          <w:numId w:val="5"/>
        </w:numPr>
        <w:jc w:val="both"/>
      </w:pPr>
      <w:r>
        <w:t xml:space="preserve">Η ασάφεια που δημιουργεί η χρήση ενισχυτικής πινακίδας </w:t>
      </w:r>
      <w:r w:rsidR="003F4D55">
        <w:t>οφείλεται αποκλειστικά</w:t>
      </w:r>
      <w:r>
        <w:t xml:space="preserve"> </w:t>
      </w:r>
      <w:r w:rsidR="003F4D55">
        <w:t>σ</w:t>
      </w:r>
      <w:r>
        <w:t>την επαφή ενισχυτικής πινακίδας – film</w:t>
      </w:r>
    </w:p>
    <w:p w:rsidR="00632950" w:rsidRDefault="00632950" w:rsidP="003F4D55">
      <w:pPr>
        <w:pStyle w:val="ListParagraph"/>
        <w:numPr>
          <w:ilvl w:val="0"/>
          <w:numId w:val="5"/>
        </w:numPr>
        <w:jc w:val="both"/>
      </w:pPr>
      <w:r>
        <w:t>Η ενισχυτική πινακίδα μετατρέπει ορατά φωτόνια σε φωτόνια Χ</w:t>
      </w:r>
    </w:p>
    <w:p w:rsidR="00632950" w:rsidRDefault="00632950" w:rsidP="003F4D55">
      <w:pPr>
        <w:pStyle w:val="ListParagraph"/>
        <w:numPr>
          <w:ilvl w:val="0"/>
          <w:numId w:val="5"/>
        </w:numPr>
        <w:jc w:val="both"/>
      </w:pPr>
      <w:r>
        <w:t>Η ευαισθησία του film είναι μεγαλύτερη σε ορατά φωτόνια από ότι σε φωτόνια Χ</w:t>
      </w:r>
    </w:p>
    <w:p w:rsidR="00632950" w:rsidRPr="00F85F04" w:rsidRDefault="00F85F04" w:rsidP="003F4D55">
      <w:pPr>
        <w:pStyle w:val="ListParagraph"/>
        <w:numPr>
          <w:ilvl w:val="0"/>
          <w:numId w:val="5"/>
        </w:numPr>
        <w:jc w:val="both"/>
      </w:pPr>
      <w:r w:rsidRPr="00F85F04">
        <w:t xml:space="preserve">Η μέγιστη εκμετάλλευση του </w:t>
      </w:r>
      <w:r w:rsidR="00632950" w:rsidRPr="00F85F04">
        <w:t>πλεον</w:t>
      </w:r>
      <w:r w:rsidRPr="00F85F04">
        <w:t>ε</w:t>
      </w:r>
      <w:r w:rsidR="00632950" w:rsidRPr="00F85F04">
        <w:t>κτ</w:t>
      </w:r>
      <w:r w:rsidRPr="00F85F04">
        <w:t>ήματος</w:t>
      </w:r>
      <w:r w:rsidR="00632950" w:rsidRPr="00F85F04">
        <w:t xml:space="preserve"> της ενισχυτικής πινακίδας προϋποθέτει φασματική σύζευξη ενισχυτική πινακίδας – film</w:t>
      </w:r>
    </w:p>
    <w:p w:rsidR="00632950" w:rsidRDefault="00632950" w:rsidP="003F4D55">
      <w:pPr>
        <w:pStyle w:val="ListParagraph"/>
        <w:numPr>
          <w:ilvl w:val="0"/>
          <w:numId w:val="5"/>
        </w:numPr>
        <w:jc w:val="both"/>
      </w:pPr>
      <w:r>
        <w:t>Η ενισχυτική πινακίδα δέχεται πρωτογενή ακτινοβολία</w:t>
      </w:r>
    </w:p>
    <w:p w:rsidR="00632950" w:rsidRDefault="00632950" w:rsidP="003F4D55">
      <w:pPr>
        <w:pStyle w:val="ListParagraph"/>
        <w:numPr>
          <w:ilvl w:val="0"/>
          <w:numId w:val="5"/>
        </w:numPr>
        <w:jc w:val="both"/>
      </w:pPr>
      <w:r>
        <w:t>Η θέση της ενισχυτικής πινακίδας είναι εντός της κασέτας και μεταξύ δυο film</w:t>
      </w:r>
    </w:p>
    <w:p w:rsidR="00632950" w:rsidRDefault="00632950" w:rsidP="003F4D55">
      <w:pPr>
        <w:pStyle w:val="ListParagraph"/>
        <w:numPr>
          <w:ilvl w:val="0"/>
          <w:numId w:val="5"/>
        </w:numPr>
        <w:jc w:val="both"/>
      </w:pPr>
      <w:r>
        <w:t xml:space="preserve">Οι ενισχυτικές πινακίδες μπορούν να χρησιμοποιηθούν χωρίς film σε μια </w:t>
      </w:r>
      <w:r w:rsidR="00560215">
        <w:t>ακτινολογική λήψη</w:t>
      </w:r>
    </w:p>
    <w:p w:rsidR="00632950" w:rsidRDefault="00377628" w:rsidP="003F4D55">
      <w:pPr>
        <w:pStyle w:val="ListParagraph"/>
        <w:numPr>
          <w:ilvl w:val="0"/>
          <w:numId w:val="5"/>
        </w:numPr>
        <w:jc w:val="both"/>
      </w:pPr>
      <w:r>
        <w:t>Οι κρύσταλλοι φθορισμού των ενισχυτικών πινακίδων μπορεί να είναι CaWO</w:t>
      </w:r>
      <w:r w:rsidRPr="00377628">
        <w:rPr>
          <w:vertAlign w:val="subscript"/>
        </w:rPr>
        <w:t>4</w:t>
      </w:r>
      <w:r w:rsidRPr="00377628">
        <w:t xml:space="preserve"> </w:t>
      </w:r>
      <w:r>
        <w:t>ή σπάνιων γαιών ή μολύβδου</w:t>
      </w:r>
    </w:p>
    <w:p w:rsidR="00377628" w:rsidRDefault="00377628" w:rsidP="003F4D55">
      <w:pPr>
        <w:pStyle w:val="ListParagraph"/>
        <w:numPr>
          <w:ilvl w:val="0"/>
          <w:numId w:val="5"/>
        </w:numPr>
        <w:jc w:val="both"/>
      </w:pPr>
      <w:r>
        <w:t xml:space="preserve">Όσο αυξάνεται η ταχύτητα της ενισχυτικής πινακίδας αυξάνεται και η δόση </w:t>
      </w:r>
      <w:r w:rsidR="00560215">
        <w:t>ακτινοβολίας στον</w:t>
      </w:r>
      <w:r>
        <w:t xml:space="preserve"> εξεταζόμενο</w:t>
      </w:r>
    </w:p>
    <w:p w:rsidR="00377628" w:rsidRDefault="00377628" w:rsidP="003F4D55">
      <w:pPr>
        <w:pStyle w:val="ListParagraph"/>
        <w:numPr>
          <w:ilvl w:val="0"/>
          <w:numId w:val="5"/>
        </w:numPr>
        <w:jc w:val="both"/>
      </w:pPr>
      <w:r>
        <w:t>Σύστημα με δυο ενισχυτικές πινακίδες μπορεί να εμφανίζει μεγαλύτερη ασάφεια συγκριτικά με σύστημα με μια ενισχυτική πινακίδα</w:t>
      </w:r>
    </w:p>
    <w:p w:rsidR="00377628" w:rsidRDefault="00377628" w:rsidP="003F4D55">
      <w:pPr>
        <w:pStyle w:val="ListParagraph"/>
        <w:numPr>
          <w:ilvl w:val="0"/>
          <w:numId w:val="5"/>
        </w:numPr>
        <w:jc w:val="both"/>
      </w:pPr>
      <w:r>
        <w:t>Η ταχύτητα της ενισχυτικής πινακίδας καθορίζει τα kV που θα χρησιμοποιηθούν σε μια έκθεση</w:t>
      </w:r>
    </w:p>
    <w:p w:rsidR="00377628" w:rsidRDefault="00377628" w:rsidP="003F4D55">
      <w:pPr>
        <w:pStyle w:val="ListParagraph"/>
        <w:numPr>
          <w:ilvl w:val="0"/>
          <w:numId w:val="5"/>
        </w:numPr>
        <w:jc w:val="both"/>
      </w:pPr>
      <w:r>
        <w:t>Η ενισχυτική πινακίδα είναι φωτοευαίσθητη γι’ αυτό ο χειρισμός της πρέπει να γίνεται στο σκοτεινό θάλαμο</w:t>
      </w:r>
    </w:p>
    <w:p w:rsidR="00377628" w:rsidRPr="00F85F04" w:rsidRDefault="00377628" w:rsidP="003F4D55">
      <w:pPr>
        <w:pStyle w:val="ListParagraph"/>
        <w:numPr>
          <w:ilvl w:val="0"/>
          <w:numId w:val="5"/>
        </w:numPr>
        <w:jc w:val="both"/>
      </w:pPr>
      <w:r w:rsidRPr="00F85F04">
        <w:t>Η οπτική πυκνότητα που θα αναπτυχθεί σε ένα film εξαρτάται και από το σύστημα απεικόνισης</w:t>
      </w:r>
    </w:p>
    <w:p w:rsidR="00377628" w:rsidRDefault="00377628" w:rsidP="003F4D55">
      <w:pPr>
        <w:pStyle w:val="ListParagraph"/>
        <w:numPr>
          <w:ilvl w:val="0"/>
          <w:numId w:val="5"/>
        </w:numPr>
        <w:jc w:val="both"/>
      </w:pPr>
      <w:r>
        <w:t>Η ενισχυτική πινακίδα CaWO</w:t>
      </w:r>
      <w:r w:rsidRPr="00377628">
        <w:rPr>
          <w:vertAlign w:val="subscript"/>
        </w:rPr>
        <w:t>4</w:t>
      </w:r>
      <w:r>
        <w:t xml:space="preserve"> πρέπει πάντα να χρησιμοποιείται με film διπλής επίστρωσης πράσινης ευαισθησίας</w:t>
      </w:r>
    </w:p>
    <w:p w:rsidR="00377628" w:rsidRDefault="00377628" w:rsidP="003F4D55">
      <w:pPr>
        <w:pStyle w:val="ListParagraph"/>
        <w:numPr>
          <w:ilvl w:val="0"/>
          <w:numId w:val="5"/>
        </w:numPr>
        <w:jc w:val="both"/>
      </w:pPr>
      <w:r>
        <w:t xml:space="preserve">Για να μειωθεί η ασάφεια που δημιουργούν οι ενισχυτικές πινακίδες μειώνουμε τα mAs </w:t>
      </w:r>
      <w:r w:rsidR="00560215">
        <w:t>από τις παραμέτρους έκθεσης</w:t>
      </w:r>
    </w:p>
    <w:p w:rsidR="00377628" w:rsidRDefault="00377628" w:rsidP="003F4D55">
      <w:pPr>
        <w:pStyle w:val="ListParagraph"/>
        <w:numPr>
          <w:ilvl w:val="0"/>
          <w:numId w:val="5"/>
        </w:numPr>
        <w:jc w:val="both"/>
      </w:pPr>
      <w:r>
        <w:t>Η ασάφεια οφείλεται στη διάχυση ορατών φωτονίων που παράγονται στην ενισχυτική πινακίδα</w:t>
      </w:r>
    </w:p>
    <w:p w:rsidR="00377628" w:rsidRDefault="00377628" w:rsidP="003F4D55">
      <w:pPr>
        <w:pStyle w:val="ListParagraph"/>
        <w:numPr>
          <w:ilvl w:val="0"/>
          <w:numId w:val="5"/>
        </w:numPr>
        <w:jc w:val="both"/>
      </w:pPr>
      <w:r>
        <w:t>Ικανοποιητική οπτική πυκνότητα σε ένα film μπορεί να αναπτυχθεί και χωρίς χρήση ενισχυτικής πινακίδας αρκεί να μειώσουμε σημαντικά τα mAs</w:t>
      </w:r>
    </w:p>
    <w:p w:rsidR="00377628" w:rsidRPr="00F85F04" w:rsidRDefault="003E03FF" w:rsidP="003F4D55">
      <w:pPr>
        <w:pStyle w:val="ListParagraph"/>
        <w:numPr>
          <w:ilvl w:val="0"/>
          <w:numId w:val="5"/>
        </w:numPr>
        <w:jc w:val="both"/>
      </w:pPr>
      <w:r w:rsidRPr="00F85F04">
        <w:t>Όσο αυξάνεται η ταχύτητα της ενισχυτικής πινακίδας μειώνουμε τα mAs για να επιτύχουμε αύξηση της οπτικής πυκνότητας</w:t>
      </w:r>
    </w:p>
    <w:p w:rsidR="003E03FF" w:rsidRDefault="003E03FF" w:rsidP="003F4D55">
      <w:pPr>
        <w:pStyle w:val="ListParagraph"/>
        <w:numPr>
          <w:ilvl w:val="0"/>
          <w:numId w:val="5"/>
        </w:numPr>
        <w:jc w:val="both"/>
      </w:pPr>
      <w:r>
        <w:lastRenderedPageBreak/>
        <w:t>Η οπτική πυκνότητα που θα αναπτυχθεί σε ένα film εξαρτάται σημαντικά από την εστιακή απόσταση</w:t>
      </w:r>
    </w:p>
    <w:p w:rsidR="003E03FF" w:rsidRDefault="003E03FF" w:rsidP="003F4D55">
      <w:pPr>
        <w:pStyle w:val="ListParagraph"/>
        <w:numPr>
          <w:ilvl w:val="0"/>
          <w:numId w:val="5"/>
        </w:numPr>
        <w:jc w:val="both"/>
      </w:pPr>
      <w:r>
        <w:t>Ο</w:t>
      </w:r>
      <w:r w:rsidR="003F4D55">
        <w:t>ι</w:t>
      </w:r>
      <w:r>
        <w:t xml:space="preserve"> παράγοντες έκθεσης mAs και kV που χρησιμοποιούνται </w:t>
      </w:r>
      <w:r w:rsidR="003F4D55">
        <w:t xml:space="preserve">σε μια ακτινολογική </w:t>
      </w:r>
      <w:r>
        <w:t xml:space="preserve"> έκθεση </w:t>
      </w:r>
      <w:r w:rsidR="003F4D55">
        <w:t xml:space="preserve">λαμβάνουν υπόψη και την </w:t>
      </w:r>
      <w:r>
        <w:t>εστιακή απόσταση</w:t>
      </w:r>
      <w:r w:rsidR="003F4D55">
        <w:t xml:space="preserve"> που θα χρησιμοποιηθεί</w:t>
      </w:r>
    </w:p>
    <w:p w:rsidR="003E03FF" w:rsidRDefault="003E03FF" w:rsidP="003F4D55">
      <w:pPr>
        <w:pStyle w:val="ListParagraph"/>
        <w:numPr>
          <w:ilvl w:val="0"/>
          <w:numId w:val="5"/>
        </w:numPr>
        <w:jc w:val="both"/>
      </w:pPr>
      <w:r>
        <w:t>Η ταχύτητα μιας ενισχυτικής πινακίδας αναγράφεται στην πλευρά της κασέτας που τοποθετείται προς τη λυχνία</w:t>
      </w:r>
    </w:p>
    <w:p w:rsidR="003E03FF" w:rsidRDefault="003E03FF" w:rsidP="003F4D55">
      <w:pPr>
        <w:pStyle w:val="ListParagraph"/>
        <w:numPr>
          <w:ilvl w:val="0"/>
          <w:numId w:val="5"/>
        </w:numPr>
        <w:jc w:val="both"/>
      </w:pPr>
      <w:r>
        <w:t xml:space="preserve">Μια ακτινογραφία με μειωμένη οπτική πυκνότητα </w:t>
      </w:r>
      <w:r w:rsidR="00560215">
        <w:t xml:space="preserve">προκύπτει αποκλειστικά από χρήση </w:t>
      </w:r>
      <w:r>
        <w:t>ενισχυτικής πινακίδας χαμηλής ταχύτητας</w:t>
      </w:r>
    </w:p>
    <w:p w:rsidR="00560215" w:rsidRDefault="00560215" w:rsidP="00560215">
      <w:pPr>
        <w:pStyle w:val="ListParagraph"/>
        <w:numPr>
          <w:ilvl w:val="0"/>
          <w:numId w:val="5"/>
        </w:numPr>
        <w:jc w:val="both"/>
      </w:pPr>
      <w:r>
        <w:t>Η ταχύτητα της ενισχυτικής πινακίδας επηρεάζει τα mAs που θα χρησιμοποιηθούν σε μια έκθεση</w:t>
      </w:r>
    </w:p>
    <w:p w:rsidR="003F4D55" w:rsidRDefault="00560215" w:rsidP="003F4D55">
      <w:pPr>
        <w:pStyle w:val="ListParagraph"/>
        <w:numPr>
          <w:ilvl w:val="0"/>
          <w:numId w:val="5"/>
        </w:numPr>
        <w:jc w:val="both"/>
      </w:pPr>
      <w:r>
        <w:t>Η φωτοπαθής επίστρωση του φιλμ πρέπει να εφάπτεται με την ΕΠ για να προκύπτει υψηλή σκιαγραφική αντίθεση</w:t>
      </w:r>
    </w:p>
    <w:p w:rsidR="009625B8" w:rsidRDefault="009625B8" w:rsidP="009625B8">
      <w:pPr>
        <w:pStyle w:val="ListParagraph"/>
      </w:pPr>
    </w:p>
    <w:p w:rsidR="004D642B" w:rsidRDefault="004D642B" w:rsidP="00560215">
      <w:pPr>
        <w:pStyle w:val="ListParagraph"/>
        <w:numPr>
          <w:ilvl w:val="0"/>
          <w:numId w:val="4"/>
        </w:numPr>
        <w:ind w:left="284" w:hanging="284"/>
        <w:jc w:val="both"/>
      </w:pPr>
      <w:r>
        <w:t>Πραγματοποιείτε ακτινογραφία με παράγοντες έκθεσης 60</w:t>
      </w:r>
      <w:r w:rsidRPr="004D642B">
        <w:t xml:space="preserve"> </w:t>
      </w:r>
      <w:r>
        <w:t>kV, 8</w:t>
      </w:r>
      <w:r w:rsidRPr="004D642B">
        <w:t xml:space="preserve"> </w:t>
      </w:r>
      <w:r>
        <w:t xml:space="preserve">mAs, ΕΑ 1m και κασέτα ταχύτητας Ε.Π. 400 που οδηγούν σε ανάπτυξη ικανοποιητικής οπτικής πυκνότητας. Επαναλαμβάνετε τη συγκεκριμένη ακτινογραφία με χρήση Ε.Π 200 </w:t>
      </w:r>
    </w:p>
    <w:p w:rsidR="003E03FF" w:rsidRDefault="004D642B" w:rsidP="00560215">
      <w:pPr>
        <w:pStyle w:val="ListParagraph"/>
        <w:ind w:left="284"/>
        <w:jc w:val="both"/>
      </w:pPr>
      <w:r>
        <w:t>α)Ποια τα νέα στοιχεία έκθεσης ώστε να επιτευχθεί η ίδια οπτική πυκνότητα</w:t>
      </w:r>
    </w:p>
    <w:p w:rsidR="004D642B" w:rsidRDefault="004D642B" w:rsidP="00560215">
      <w:pPr>
        <w:pStyle w:val="ListParagraph"/>
        <w:ind w:left="284"/>
        <w:jc w:val="both"/>
      </w:pPr>
      <w:r>
        <w:t>β) Σε τι διαφέρουν οι δυο ακτινογραφίες</w:t>
      </w:r>
    </w:p>
    <w:p w:rsidR="005921BF" w:rsidRDefault="004D642B" w:rsidP="00560215">
      <w:pPr>
        <w:pStyle w:val="ListParagraph"/>
        <w:ind w:left="284"/>
        <w:jc w:val="both"/>
      </w:pPr>
      <w:r>
        <w:t xml:space="preserve">γ) Σε τι θα διέφεραν οι δυο ακτινογραφίες αν κάνατε αλλαγή ΕΠ χωρίς αλλαγή </w:t>
      </w:r>
    </w:p>
    <w:p w:rsidR="004D642B" w:rsidRDefault="005921BF" w:rsidP="00560215">
      <w:pPr>
        <w:pStyle w:val="ListParagraph"/>
        <w:ind w:left="284"/>
        <w:jc w:val="both"/>
      </w:pPr>
      <w:r>
        <w:t xml:space="preserve">     </w:t>
      </w:r>
      <w:r w:rsidR="004D642B">
        <w:t>παραγόντων έκθεσης</w:t>
      </w:r>
      <w:r>
        <w:t xml:space="preserve"> (με τις μέχρι τώρα γνώσεις σας)</w:t>
      </w:r>
    </w:p>
    <w:p w:rsidR="005921BF" w:rsidRDefault="005921BF" w:rsidP="00560215">
      <w:pPr>
        <w:pStyle w:val="ListParagraph"/>
        <w:ind w:left="284"/>
        <w:jc w:val="both"/>
      </w:pPr>
      <w:r>
        <w:t>δ) Αν διαφέρουν στη δόση του εξεταζόμενου, ποια υπερτερεί</w:t>
      </w:r>
    </w:p>
    <w:p w:rsidR="004D642B" w:rsidRDefault="004D642B" w:rsidP="00560215">
      <w:pPr>
        <w:pStyle w:val="ListParagraph"/>
        <w:ind w:left="284"/>
        <w:jc w:val="both"/>
      </w:pPr>
    </w:p>
    <w:p w:rsidR="005921BF" w:rsidRDefault="005921BF" w:rsidP="005921BF">
      <w:pPr>
        <w:pStyle w:val="ListParagraph"/>
        <w:numPr>
          <w:ilvl w:val="0"/>
          <w:numId w:val="4"/>
        </w:numPr>
        <w:ind w:left="284" w:hanging="284"/>
      </w:pPr>
      <w:r>
        <w:t>Πραγματοποιείτε ακτινογραφία με παράγοντες έκθεσης 60</w:t>
      </w:r>
      <w:r w:rsidRPr="004D642B">
        <w:t xml:space="preserve"> </w:t>
      </w:r>
      <w:r>
        <w:t>kV, 9</w:t>
      </w:r>
      <w:r w:rsidRPr="004D642B">
        <w:t xml:space="preserve"> </w:t>
      </w:r>
      <w:r>
        <w:t>mAs, ΕΑ 1,2 m και κασέτα ταχύτητας Ε.Π. 400 που οδηγούν σε ανάπτυξη ικανοποιητικής οπτικής πυκνότητας. Επαναλαμβάνετε τη συγκεκριμένη ακτινογραφία με χρήση Ε.Α  1,6 m</w:t>
      </w:r>
    </w:p>
    <w:p w:rsidR="005921BF" w:rsidRDefault="005921BF" w:rsidP="005921BF">
      <w:pPr>
        <w:pStyle w:val="ListParagraph"/>
        <w:ind w:left="284"/>
      </w:pPr>
      <w:r>
        <w:t>α)Ποια τα νέα στοιχεία έκθεσης ώστε να επιτευχθεί η ίδια οπτική πυκνότητα</w:t>
      </w:r>
    </w:p>
    <w:p w:rsidR="005921BF" w:rsidRDefault="005921BF" w:rsidP="005921BF">
      <w:pPr>
        <w:pStyle w:val="ListParagraph"/>
        <w:ind w:left="284"/>
      </w:pPr>
      <w:r>
        <w:t>β) Σε τι διαφέρουν οι δυο ακτινογραφίες</w:t>
      </w:r>
    </w:p>
    <w:p w:rsidR="005921BF" w:rsidRDefault="005921BF" w:rsidP="005921BF">
      <w:pPr>
        <w:pStyle w:val="ListParagraph"/>
        <w:ind w:left="284"/>
      </w:pPr>
      <w:r>
        <w:t xml:space="preserve">γ) Σε τι θα διέφεραν οι δυο ακτινογραφίες αν κάνατε </w:t>
      </w:r>
      <w:r w:rsidR="00717D65">
        <w:t xml:space="preserve">την </w:t>
      </w:r>
      <w:r>
        <w:t xml:space="preserve">αλλαγή ΕΑ χωρίς αλλαγή </w:t>
      </w:r>
    </w:p>
    <w:p w:rsidR="005921BF" w:rsidRDefault="005921BF" w:rsidP="005921BF">
      <w:pPr>
        <w:pStyle w:val="ListParagraph"/>
        <w:ind w:left="284"/>
      </w:pPr>
      <w:r>
        <w:t xml:space="preserve">     παραγόντων έκθεσης (με τις μέχρι τώρα γνώσεις σας)</w:t>
      </w:r>
    </w:p>
    <w:p w:rsidR="005921BF" w:rsidRDefault="005921BF" w:rsidP="005921BF">
      <w:pPr>
        <w:pStyle w:val="ListParagraph"/>
        <w:ind w:left="284"/>
      </w:pPr>
      <w:r>
        <w:t>δ) Αν διαφέρουν στη δόση του εξεταζόμενου, ποια υπερτερεί</w:t>
      </w:r>
    </w:p>
    <w:p w:rsidR="007F7B05" w:rsidRDefault="007F7B05" w:rsidP="005921BF">
      <w:pPr>
        <w:pStyle w:val="ListParagraph"/>
        <w:ind w:left="284"/>
      </w:pPr>
    </w:p>
    <w:p w:rsidR="004D642B" w:rsidRDefault="00717D65" w:rsidP="00F85F04">
      <w:pPr>
        <w:pStyle w:val="ListParagraph"/>
        <w:numPr>
          <w:ilvl w:val="0"/>
          <w:numId w:val="4"/>
        </w:numPr>
        <w:ind w:left="284" w:hanging="284"/>
        <w:jc w:val="both"/>
      </w:pPr>
      <w:r>
        <w:t>Πραγματοποιείτε</w:t>
      </w:r>
      <w:r w:rsidR="00F85F04">
        <w:t xml:space="preserve"> αρχικά</w:t>
      </w:r>
      <w:r>
        <w:t xml:space="preserve"> απλή ακτινογραφία (α/α) με παράγοντες έκθεσης </w:t>
      </w:r>
      <w:r>
        <w:rPr>
          <w:lang w:val="en-US"/>
        </w:rPr>
        <w:t>kV</w:t>
      </w:r>
      <w:r w:rsidRPr="00717D65">
        <w:t xml:space="preserve"> 50, </w:t>
      </w:r>
      <w:proofErr w:type="spellStart"/>
      <w:r>
        <w:rPr>
          <w:lang w:val="en-US"/>
        </w:rPr>
        <w:t>mAs</w:t>
      </w:r>
      <w:proofErr w:type="spellEnd"/>
      <w:r w:rsidRPr="00717D65">
        <w:t xml:space="preserve"> 8, </w:t>
      </w:r>
      <w:r>
        <w:rPr>
          <w:lang w:val="en-US"/>
        </w:rPr>
        <w:t>EA</w:t>
      </w:r>
      <w:r w:rsidRPr="00717D65">
        <w:t xml:space="preserve"> 1</w:t>
      </w:r>
      <w:r>
        <w:rPr>
          <w:lang w:val="en-US"/>
        </w:rPr>
        <w:t>m</w:t>
      </w:r>
      <w:r w:rsidRPr="00717D65">
        <w:t xml:space="preserve"> </w:t>
      </w:r>
      <w:r>
        <w:t xml:space="preserve">και ταχύτητα ΕΠ 200. Η πυκνότητα της ακτινολογικής εικόνας είναι ικανοποιητική. </w:t>
      </w:r>
    </w:p>
    <w:p w:rsidR="00717D65" w:rsidRDefault="00F85F04" w:rsidP="00F85F04">
      <w:pPr>
        <w:pStyle w:val="ListParagraph"/>
        <w:ind w:left="284"/>
        <w:jc w:val="both"/>
      </w:pPr>
      <w:r>
        <w:t>Σε</w:t>
      </w:r>
      <w:r w:rsidR="00717D65">
        <w:t xml:space="preserve"> </w:t>
      </w:r>
      <w:r>
        <w:t xml:space="preserve">νέα </w:t>
      </w:r>
      <w:r w:rsidR="00717D65">
        <w:t>λ</w:t>
      </w:r>
      <w:r>
        <w:t>ή</w:t>
      </w:r>
      <w:r w:rsidR="00717D65">
        <w:t xml:space="preserve">ψη της α/α απαιτούνται 4 </w:t>
      </w:r>
      <w:proofErr w:type="spellStart"/>
      <w:r w:rsidR="00717D65">
        <w:rPr>
          <w:lang w:val="en-US"/>
        </w:rPr>
        <w:t>mAs</w:t>
      </w:r>
      <w:proofErr w:type="spellEnd"/>
      <w:r w:rsidR="00717D65">
        <w:t xml:space="preserve"> για ικανοποιητική ΟΠ.</w:t>
      </w:r>
    </w:p>
    <w:p w:rsidR="00717D65" w:rsidRDefault="00717D65" w:rsidP="00F85F04">
      <w:pPr>
        <w:pStyle w:val="ListParagraph"/>
        <w:numPr>
          <w:ilvl w:val="0"/>
          <w:numId w:val="6"/>
        </w:numPr>
        <w:ind w:left="540" w:hanging="270"/>
        <w:jc w:val="both"/>
      </w:pPr>
      <w:r>
        <w:t xml:space="preserve">Να </w:t>
      </w:r>
      <w:r w:rsidR="00F85F04">
        <w:t xml:space="preserve">αναφέρετε μια – μια τις  πιθανές μεταβολές στις άλλες παραμέτρους έκθεσης που η αντιστάθμισή της επιδρασής τους στην οπτική πυκνότητα απιτεί την παραπάνω νέα τιμή </w:t>
      </w:r>
      <w:proofErr w:type="spellStart"/>
      <w:r w:rsidR="00F85F04">
        <w:rPr>
          <w:lang w:val="en-US"/>
        </w:rPr>
        <w:t>mAs</w:t>
      </w:r>
      <w:proofErr w:type="spellEnd"/>
      <w:r w:rsidR="00F85F04">
        <w:t>.</w:t>
      </w:r>
    </w:p>
    <w:p w:rsidR="00F85F04" w:rsidRDefault="00F85F04" w:rsidP="00F85F04">
      <w:pPr>
        <w:pStyle w:val="ListParagraph"/>
        <w:numPr>
          <w:ilvl w:val="0"/>
          <w:numId w:val="6"/>
        </w:numPr>
        <w:ind w:left="540" w:hanging="270"/>
        <w:jc w:val="both"/>
      </w:pPr>
      <w:r>
        <w:t>Για κάθε μια από τις πιθανές μεταβολές να κάνετε σύγκριση ποιοτικών χαρακτηριστικών μεταξύ της αρχικής λήψης και νέας.</w:t>
      </w:r>
    </w:p>
    <w:p w:rsidR="00F85F04" w:rsidRDefault="00F85F04" w:rsidP="00F85F04">
      <w:pPr>
        <w:pStyle w:val="ListParagraph"/>
        <w:ind w:left="0"/>
        <w:jc w:val="both"/>
      </w:pPr>
    </w:p>
    <w:p w:rsidR="00F85F04" w:rsidRDefault="00F85F04" w:rsidP="00F85F04">
      <w:pPr>
        <w:pStyle w:val="ListParagraph"/>
        <w:numPr>
          <w:ilvl w:val="0"/>
          <w:numId w:val="4"/>
        </w:numPr>
        <w:ind w:left="270" w:hanging="270"/>
        <w:jc w:val="both"/>
      </w:pPr>
      <w:r>
        <w:t>Αρχική α/α γίνεται με παράγοντες έκθεσης 60</w:t>
      </w:r>
      <w:r w:rsidRPr="004D642B">
        <w:t xml:space="preserve"> </w:t>
      </w:r>
      <w:r>
        <w:t>kV, 8</w:t>
      </w:r>
      <w:r w:rsidRPr="004D642B">
        <w:t xml:space="preserve"> </w:t>
      </w:r>
      <w:r>
        <w:t>mAs, ΕΑ 1</w:t>
      </w:r>
      <w:r w:rsidR="00CC7C68" w:rsidRPr="00CC7C68">
        <w:t xml:space="preserve">,2 </w:t>
      </w:r>
      <w:r>
        <w:t>m και κασέτα ταχύτητας Ε.Π. 400</w:t>
      </w:r>
      <w:r w:rsidR="00CC7C68">
        <w:t>. Η εικόνα που προκύπτει έχει ικανοποιητική οπτική πυκνότητα.</w:t>
      </w:r>
    </w:p>
    <w:p w:rsidR="00CC7C68" w:rsidRPr="00CC7C68" w:rsidRDefault="00CC7C68" w:rsidP="00CC7C68">
      <w:pPr>
        <w:pStyle w:val="ListParagraph"/>
        <w:ind w:left="0"/>
        <w:jc w:val="both"/>
      </w:pPr>
      <w:r>
        <w:t xml:space="preserve">     Νέα α/α γίνεται με κασέτα ΕΠ 200 και ΕΑ 1,6</w:t>
      </w:r>
      <w:r w:rsidRPr="00CC7C68">
        <w:t xml:space="preserve"> </w:t>
      </w:r>
      <w:r>
        <w:rPr>
          <w:lang w:val="en-US"/>
        </w:rPr>
        <w:t>m</w:t>
      </w:r>
      <w:r w:rsidRPr="00CC7C68">
        <w:t>.</w:t>
      </w:r>
    </w:p>
    <w:p w:rsidR="00CC7C68" w:rsidRDefault="00CC7C68" w:rsidP="00CC7C68">
      <w:pPr>
        <w:pStyle w:val="ListParagraph"/>
        <w:numPr>
          <w:ilvl w:val="0"/>
          <w:numId w:val="7"/>
        </w:numPr>
        <w:jc w:val="both"/>
      </w:pPr>
      <w:r>
        <w:t>Να δώσετε τους νέους παραγοντες έκθεσης που θα δώσουν την ίδια οπτική πυκνότητα στη νέα α/α.</w:t>
      </w:r>
    </w:p>
    <w:p w:rsidR="00CC7C68" w:rsidRDefault="00CC7C68" w:rsidP="00CC7C68">
      <w:pPr>
        <w:pStyle w:val="ListParagraph"/>
        <w:numPr>
          <w:ilvl w:val="0"/>
          <w:numId w:val="7"/>
        </w:numPr>
        <w:jc w:val="both"/>
      </w:pPr>
      <w:r>
        <w:lastRenderedPageBreak/>
        <w:t>Να συγκρίνεται ποιοτικά την αρχική λήψη με τη νέα (με βάση τις μέχρι τώρα γνώσεις σας</w:t>
      </w:r>
    </w:p>
    <w:p w:rsidR="00CC7C68" w:rsidRDefault="00CC7C68" w:rsidP="00CC7C68">
      <w:pPr>
        <w:pStyle w:val="ListParagraph"/>
        <w:numPr>
          <w:ilvl w:val="0"/>
          <w:numId w:val="4"/>
        </w:numPr>
        <w:ind w:left="270" w:hanging="270"/>
        <w:jc w:val="both"/>
      </w:pPr>
      <w:r>
        <w:t xml:space="preserve">Να εξηγήσετε γιατί η αύξηση των </w:t>
      </w:r>
      <w:r>
        <w:rPr>
          <w:lang w:val="en-US"/>
        </w:rPr>
        <w:t>kV</w:t>
      </w:r>
      <w:r w:rsidRPr="00CC7C68">
        <w:t xml:space="preserve"> </w:t>
      </w:r>
      <w:r>
        <w:t xml:space="preserve">είναι ακτινοπροστατευτική και να παραβάλετε την ερμηνεία σας με όσα έχουμε πει περί ιδανικής τιμής </w:t>
      </w:r>
      <w:r>
        <w:rPr>
          <w:lang w:val="en-US"/>
        </w:rPr>
        <w:t>kV</w:t>
      </w:r>
      <w:r w:rsidR="00ED4017">
        <w:t>.</w:t>
      </w:r>
    </w:p>
    <w:p w:rsidR="00ED4017" w:rsidRDefault="00ED4017" w:rsidP="00ED4017">
      <w:pPr>
        <w:pStyle w:val="ListParagraph"/>
        <w:jc w:val="both"/>
      </w:pPr>
    </w:p>
    <w:p w:rsidR="00ED4017" w:rsidRDefault="00ED4017" w:rsidP="00E43840">
      <w:pPr>
        <w:pStyle w:val="ListParagraph"/>
        <w:numPr>
          <w:ilvl w:val="0"/>
          <w:numId w:val="4"/>
        </w:numPr>
        <w:tabs>
          <w:tab w:val="left" w:pos="270"/>
        </w:tabs>
        <w:ind w:left="270" w:hanging="270"/>
        <w:jc w:val="both"/>
      </w:pPr>
      <w:r>
        <w:t>Να περιγράψετε με δικά σας λόγια τις εξισώσεις διατήρησης της οπτικής πυκνότητας</w:t>
      </w:r>
    </w:p>
    <w:p w:rsidR="00E43840" w:rsidRPr="00E43840" w:rsidRDefault="00890409" w:rsidP="00004004">
      <w:pPr>
        <w:pStyle w:val="Subtitle"/>
        <w:numPr>
          <w:ilvl w:val="0"/>
          <w:numId w:val="10"/>
        </w:numPr>
        <w:ind w:left="540" w:hanging="270"/>
        <w:rPr>
          <w:rFonts w:ascii="Calibri" w:eastAsia="Calibri" w:hAnsi="Calibri" w:cs="Times New Roman"/>
          <w:b/>
        </w:rPr>
      </w:pPr>
      <m:oMath>
        <m:f>
          <m:fPr>
            <m:ctrlPr>
              <w:rPr>
                <w:rFonts w:ascii="Cambria Math" w:eastAsia="Calibri" w:hAnsiTheme="minorHAnsi" w:cs="Times New Roman"/>
                <w:b/>
                <w:color w:val="auto"/>
                <w:spacing w:val="0"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ΕΠ</m:t>
            </m:r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ΕΠ</m:t>
            </m:r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  <m:r>
          <m:rPr>
            <m:sty m:val="bi"/>
          </m:rPr>
          <w:rPr>
            <w:rFonts w:ascii="Cambria Math" w:hAnsiTheme="minorHAnsi"/>
            <w:sz w:val="32"/>
            <w:szCs w:val="32"/>
          </w:rPr>
          <m:t>=</m:t>
        </m:r>
        <m:f>
          <m:fPr>
            <m:ctrlPr>
              <w:rPr>
                <w:rFonts w:ascii="Cambria Math" w:eastAsia="Calibri" w:hAnsiTheme="minorHAnsi" w:cs="Times New Roman"/>
                <w:b/>
                <w:color w:val="auto"/>
                <w:spacing w:val="0"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mAs</m:t>
            </m:r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mAs</m:t>
            </m:r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1</m:t>
            </m:r>
          </m:den>
        </m:f>
      </m:oMath>
      <w:r w:rsidR="00E43840" w:rsidRPr="00E43840">
        <w:rPr>
          <w:b/>
          <w:color w:val="auto"/>
          <w:spacing w:val="0"/>
          <w:sz w:val="32"/>
          <w:szCs w:val="32"/>
        </w:rPr>
        <w:t xml:space="preserve">   </w:t>
      </w:r>
    </w:p>
    <w:p w:rsidR="00ED77BC" w:rsidRDefault="00890409" w:rsidP="00004004">
      <w:pPr>
        <w:pStyle w:val="Subtitle"/>
        <w:numPr>
          <w:ilvl w:val="0"/>
          <w:numId w:val="10"/>
        </w:numPr>
        <w:ind w:left="540" w:hanging="270"/>
        <w:rPr>
          <w:rFonts w:asciiTheme="minorHAnsi" w:eastAsia="Calibri" w:hAnsiTheme="minorHAnsi" w:cs="Times New Roman"/>
          <w:b/>
          <w:color w:val="auto"/>
          <w:spacing w:val="0"/>
          <w:szCs w:val="22"/>
          <w:lang w:val="en-US"/>
        </w:rPr>
      </w:pPr>
      <m:oMath>
        <m:sSup>
          <m:sSupPr>
            <m:ctrlPr>
              <w:rPr>
                <w:rFonts w:ascii="Cambria Math" w:eastAsia="Calibri" w:hAnsiTheme="minorHAnsi" w:cs="Times New Roman"/>
                <w:b/>
                <w:color w:val="auto"/>
                <w:spacing w:val="0"/>
                <w:szCs w:val="22"/>
              </w:rPr>
            </m:ctrlPr>
          </m:sSupPr>
          <m:e>
            <m:d>
              <m:dPr>
                <m:ctrlPr>
                  <w:rPr>
                    <w:rFonts w:ascii="Cambria Math" w:eastAsia="Calibri" w:hAnsiTheme="minorHAnsi" w:cs="Times New Roman"/>
                    <w:b/>
                    <w:color w:val="auto"/>
                    <w:spacing w:val="0"/>
                    <w:szCs w:val="22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Calibri" w:hAnsiTheme="minorHAnsi" w:cs="Times New Roman"/>
                        <w:b/>
                        <w:color w:val="auto"/>
                        <w:spacing w:val="0"/>
                        <w:szCs w:val="22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>EA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</w:rPr>
                      <m:t>EA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</w:rPr>
                      <m:t>2</m:t>
                    </m:r>
                  </m:den>
                </m:f>
              </m:e>
            </m:d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</w:rPr>
              <m:t>2</m:t>
            </m:r>
          </m:sup>
        </m:sSup>
        <m:r>
          <m:rPr>
            <m:sty m:val="bi"/>
          </m:rPr>
          <w:rPr>
            <w:rFonts w:ascii="Cambria Math" w:hAnsiTheme="minorHAnsi"/>
            <w:sz w:val="28"/>
          </w:rPr>
          <m:t>=</m:t>
        </m:r>
        <m:f>
          <m:fPr>
            <m:ctrlPr>
              <w:rPr>
                <w:rFonts w:ascii="Cambria Math" w:eastAsia="Calibri" w:hAnsiTheme="minorHAnsi" w:cs="Times New Roman"/>
                <w:b/>
                <w:color w:val="auto"/>
                <w:spacing w:val="0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</w:rPr>
              <m:t>mAs</m:t>
            </m:r>
            <m:r>
              <m:rPr>
                <m:sty m:val="bi"/>
              </m:rPr>
              <w:rPr>
                <w:rFonts w:ascii="Cambria Math" w:hAnsi="Cambria Math"/>
                <w:sz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</w:rPr>
              <m:t>mAs</m:t>
            </m:r>
            <m:r>
              <m:rPr>
                <m:sty m:val="bi"/>
              </m:rPr>
              <w:rPr>
                <w:rFonts w:ascii="Cambria Math" w:hAnsi="Cambria Math"/>
                <w:sz w:val="28"/>
              </w:rPr>
              <m:t>2</m:t>
            </m:r>
          </m:den>
        </m:f>
      </m:oMath>
    </w:p>
    <w:p w:rsidR="00C07320" w:rsidRPr="0085416C" w:rsidRDefault="00C07320" w:rsidP="00004004">
      <w:pPr>
        <w:pStyle w:val="NoSpacing"/>
        <w:numPr>
          <w:ilvl w:val="0"/>
          <w:numId w:val="10"/>
        </w:numPr>
        <w:ind w:left="540" w:hanging="270"/>
        <w:jc w:val="both"/>
        <w:rPr>
          <w:b/>
        </w:rPr>
      </w:pPr>
      <w:r w:rsidRPr="0085416C">
        <w:rPr>
          <w:b/>
        </w:rPr>
        <w:t>Κανόνας</w:t>
      </w:r>
      <w:r w:rsidRPr="0085416C">
        <w:rPr>
          <w:b/>
          <w:lang w:val="en-US"/>
        </w:rPr>
        <w:t xml:space="preserve"> 15%</w:t>
      </w:r>
    </w:p>
    <w:p w:rsidR="00004004" w:rsidRDefault="00004004" w:rsidP="00C07320">
      <w:pPr>
        <w:pStyle w:val="NoSpacing"/>
        <w:ind w:left="540"/>
        <w:jc w:val="both"/>
      </w:pPr>
      <w:r>
        <w:t xml:space="preserve">Ως προς την οπτική πυκνότητα, η αύξηση των </w:t>
      </w:r>
      <w:r w:rsidRPr="00004004">
        <w:rPr>
          <w:lang w:val="en-US"/>
        </w:rPr>
        <w:t>kV</w:t>
      </w:r>
      <w:r>
        <w:t xml:space="preserve"> κατά 15% είναι ισοδύναμη με διπλασασμό των </w:t>
      </w:r>
      <w:proofErr w:type="spellStart"/>
      <w:r w:rsidRPr="00004004">
        <w:rPr>
          <w:lang w:val="en-US"/>
        </w:rPr>
        <w:t>mAs</w:t>
      </w:r>
      <w:proofErr w:type="spellEnd"/>
      <w:r w:rsidRPr="00004004">
        <w:t xml:space="preserve">. </w:t>
      </w:r>
    </w:p>
    <w:p w:rsidR="00004004" w:rsidRDefault="00004004" w:rsidP="00004004">
      <w:pPr>
        <w:pStyle w:val="NoSpacing"/>
        <w:ind w:left="540"/>
        <w:jc w:val="both"/>
      </w:pPr>
      <w:r>
        <w:t>Ως προς την οπτική πυκνότητα,</w:t>
      </w:r>
      <w:r w:rsidRPr="00004004">
        <w:t xml:space="preserve"> </w:t>
      </w:r>
      <w:r>
        <w:t xml:space="preserve">η μείωση των </w:t>
      </w:r>
      <w:r w:rsidRPr="00004004">
        <w:rPr>
          <w:lang w:val="en-US"/>
        </w:rPr>
        <w:t>kV</w:t>
      </w:r>
      <w:r>
        <w:t xml:space="preserve"> κατά 15% είναι ισοδύναμη με υποδιπλασιασμό των </w:t>
      </w:r>
      <w:proofErr w:type="spellStart"/>
      <w:r w:rsidRPr="00004004">
        <w:rPr>
          <w:lang w:val="en-US"/>
        </w:rPr>
        <w:t>mAs</w:t>
      </w:r>
      <w:proofErr w:type="spellEnd"/>
      <w:r w:rsidRPr="00004004">
        <w:t>.</w:t>
      </w:r>
    </w:p>
    <w:p w:rsidR="00004004" w:rsidRDefault="00004004" w:rsidP="00004004">
      <w:pPr>
        <w:pStyle w:val="NoSpacing"/>
        <w:ind w:left="540"/>
        <w:jc w:val="both"/>
      </w:pPr>
    </w:p>
    <w:p w:rsidR="00D360F4" w:rsidRDefault="00890409" w:rsidP="00D360F4">
      <w:pPr>
        <w:jc w:val="center"/>
        <w:rPr>
          <w:i/>
        </w:rPr>
      </w:pPr>
      <w:r>
        <w:rPr>
          <w:i/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-12.75pt;margin-top:97.25pt;width:84.75pt;height:41.25pt;z-index:251666432" fillcolor="white [3201]" strokecolor="#4bacc6 [3208]" strokeweight="5pt">
            <v:stroke linestyle="thickThin"/>
            <v:shadow color="#868686"/>
            <v:textbox>
              <w:txbxContent>
                <w:p w:rsidR="004E5E91" w:rsidRPr="002A62CE" w:rsidRDefault="004E5E91" w:rsidP="004E5E91">
                  <w:pPr>
                    <w:jc w:val="center"/>
                    <w:rPr>
                      <w:lang w:val="en-US"/>
                    </w:rPr>
                  </w:pPr>
                  <w:r>
                    <w:t>ΟΠ ικανοποιητική</w:t>
                  </w:r>
                </w:p>
              </w:txbxContent>
            </v:textbox>
          </v:shape>
        </w:pict>
      </w:r>
      <w:r>
        <w:rPr>
          <w:i/>
          <w:noProof/>
          <w:lang w:val="en-US"/>
        </w:rPr>
        <w:pict>
          <v:group id="_x0000_s1043" style="position:absolute;left:0;text-align:left;margin-left:-14.25pt;margin-top:5.75pt;width:438pt;height:249.75pt;z-index:251665407" coordorigin="1125,9900" coordsize="9165,5220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6" type="#_x0000_t32" style="position:absolute;left:2310;top:9900;width:0;height:5220" o:connectortype="straight"/>
            <v:shape id="_x0000_s1028" type="#_x0000_t32" style="position:absolute;left:2310;top:14355;width:7635;height:0" o:connectortype="straight" strokecolor="#4e6128 [1606]" strokeweight="1.5pt">
              <v:stroke dashstyle="1 1"/>
            </v:shape>
            <v:shape id="_x0000_s1029" type="#_x0000_t32" style="position:absolute;left:2310;top:12240;width:7455;height:0" o:connectortype="straight" strokecolor="#31849b [2408]" strokeweight="1.5pt"/>
            <v:shape id="_x0000_s1030" type="#_x0000_t32" style="position:absolute;left:2310;top:10350;width:7455;height:0" o:connectortype="straight" strokecolor="#e36c0a [2409]" strokeweight="1.5pt">
              <v:stroke dashstyle="longDash"/>
            </v:shape>
            <v:shape id="_x0000_s1031" type="#_x0000_t202" style="position:absolute;left:2760;top:9900;width:1440;height:765" fillcolor="white [3201]" strokecolor="#fabf8f [1945]" strokeweight="1pt">
              <v:fill color2="#fbd4b4 [1305]" focusposition="1" focussize="" focus="100%" type="gradient"/>
              <v:shadow on="t" type="perspective" color="#974706 [1609]" opacity=".5" offset="1pt" offset2="-3pt"/>
              <v:textbox>
                <w:txbxContent>
                  <w:p w:rsidR="002A62CE" w:rsidRPr="002A62CE" w:rsidRDefault="002A62CE" w:rsidP="00D360F4">
                    <w:pPr>
                      <w:jc w:val="center"/>
                    </w:pPr>
                    <w:r>
                      <w:t xml:space="preserve">Αύξηση </w:t>
                    </w:r>
                    <w:r>
                      <w:rPr>
                        <w:lang w:val="en-US"/>
                      </w:rPr>
                      <w:t xml:space="preserve">kV </w:t>
                    </w:r>
                    <w:r>
                      <w:t>κατά 15%</w:t>
                    </w:r>
                  </w:p>
                </w:txbxContent>
              </v:textbox>
            </v:shape>
            <v:shape id="_x0000_s1032" type="#_x0000_t202" style="position:absolute;left:7755;top:10110;width:1215;height:465" fillcolor="white [3201]" strokecolor="#fabf8f [1945]" strokeweight="1pt">
              <v:fill color2="#fbd4b4 [1305]" focusposition="1" focussize="" focus="100%" type="gradient"/>
              <v:shadow on="t" type="perspective" color="#974706 [1609]" opacity=".5" offset="1pt" offset2="-3pt"/>
              <v:textbox>
                <w:txbxContent>
                  <w:p w:rsidR="002A62CE" w:rsidRPr="002A62CE" w:rsidRDefault="002A62CE" w:rsidP="002A62CE">
                    <w:pPr>
                      <w:rPr>
                        <w:lang w:val="en-US"/>
                      </w:rPr>
                    </w:pPr>
                    <w:r>
                      <w:t xml:space="preserve">2 </w:t>
                    </w:r>
                    <w:r>
                      <w:rPr>
                        <w:lang w:val="en-US"/>
                      </w:rPr>
                      <w:t xml:space="preserve">X </w:t>
                    </w:r>
                    <w:proofErr w:type="spellStart"/>
                    <w:r>
                      <w:rPr>
                        <w:lang w:val="en-US"/>
                      </w:rPr>
                      <w:t>mAs</w:t>
                    </w:r>
                    <w:proofErr w:type="spellEnd"/>
                  </w:p>
                </w:txbxContent>
              </v:textbox>
            </v:shape>
            <v:shape id="_x0000_s1033" type="#_x0000_t202" style="position:absolute;left:5940;top:10095;width:570;height:465" fillcolor="white [3201]" strokecolor="#f79646 [3209]" strokeweight="5pt">
              <v:stroke linestyle="thickThin"/>
              <v:shadow color="#868686"/>
              <v:textbox>
                <w:txbxContent>
                  <w:p w:rsidR="004E5E91" w:rsidRPr="004E5E91" w:rsidRDefault="004E5E91" w:rsidP="00D360F4">
                    <w:pPr>
                      <w:jc w:val="center"/>
                    </w:pPr>
                    <w:r>
                      <w:t>ή</w:t>
                    </w:r>
                  </w:p>
                </w:txbxContent>
              </v:textbox>
            </v:shape>
            <v:shape id="_x0000_s1034" type="#_x0000_t202" style="position:absolute;left:1125;top:10095;width:1185;height:465" fillcolor="white [3201]" strokecolor="#fabf8f [1945]" strokeweight="1pt">
              <v:fill color2="#fbd4b4 [1305]" focusposition="1" focussize="" focus="100%" type="gradient"/>
              <v:shadow on="t" type="perspective" color="#974706 [1609]" opacity=".5" offset="1pt" offset2="-3pt"/>
              <v:textbox>
                <w:txbxContent>
                  <w:p w:rsidR="004E5E91" w:rsidRPr="002A62CE" w:rsidRDefault="004E5E91" w:rsidP="004E5E91">
                    <w:pPr>
                      <w:rPr>
                        <w:lang w:val="en-US"/>
                      </w:rPr>
                    </w:pPr>
                    <w:r>
                      <w:t>ΟΠ + 0.3</w:t>
                    </w:r>
                  </w:p>
                </w:txbxContent>
              </v:textbox>
            </v:shape>
            <v:shape id="_x0000_s1036" type="#_x0000_t202" style="position:absolute;left:8595;top:11970;width:1695;height:498" fillcolor="white [3201]" strokecolor="#4bacc6 [3208]" strokeweight="5pt">
              <v:stroke linestyle="thickThin"/>
              <v:shadow color="#868686"/>
              <v:textbox>
                <w:txbxContent>
                  <w:p w:rsidR="004E5E91" w:rsidRPr="004E5E91" w:rsidRDefault="004E5E91" w:rsidP="004E5E91">
                    <w:pPr>
                      <w:jc w:val="center"/>
                      <w:rPr>
                        <w:lang w:val="en-US"/>
                      </w:rPr>
                    </w:pPr>
                    <w:proofErr w:type="gramStart"/>
                    <w:r>
                      <w:rPr>
                        <w:lang w:val="en-US"/>
                      </w:rPr>
                      <w:t>kV</w:t>
                    </w:r>
                    <w:proofErr w:type="gramEnd"/>
                    <w:r>
                      <w:rPr>
                        <w:lang w:val="en-US"/>
                      </w:rPr>
                      <w:t xml:space="preserve"> + </w:t>
                    </w:r>
                    <w:proofErr w:type="spellStart"/>
                    <w:r>
                      <w:rPr>
                        <w:lang w:val="en-US"/>
                      </w:rPr>
                      <w:t>mAs</w:t>
                    </w:r>
                    <w:proofErr w:type="spellEnd"/>
                  </w:p>
                </w:txbxContent>
              </v:textbox>
            </v:shape>
            <v:shape id="_x0000_s1037" type="#_x0000_t202" style="position:absolute;left:2805;top:13995;width:1440;height:765" fillcolor="white [3201]" strokecolor="#c2d69b [1942]" strokeweight="1pt">
              <v:fill color2="#d6e3bc [1302]" focusposition="1" focussize="" focus="100%" type="gradient"/>
              <v:shadow on="t" type="perspective" color="#4e6128 [1606]" opacity=".5" offset="1pt" offset2="-3pt"/>
              <v:textbox>
                <w:txbxContent>
                  <w:p w:rsidR="004E5E91" w:rsidRPr="002A62CE" w:rsidRDefault="004E5E91" w:rsidP="004E5E91">
                    <w:r>
                      <w:t xml:space="preserve">Μείωση </w:t>
                    </w:r>
                    <w:r>
                      <w:rPr>
                        <w:lang w:val="en-US"/>
                      </w:rPr>
                      <w:t xml:space="preserve">kV </w:t>
                    </w:r>
                    <w:r>
                      <w:t>κατά 15%</w:t>
                    </w:r>
                  </w:p>
                </w:txbxContent>
              </v:textbox>
            </v:shape>
            <v:shape id="_x0000_s1038" type="#_x0000_t202" style="position:absolute;left:6015;top:14115;width:495;height:465" fillcolor="white [3201]" strokecolor="#9bbb59 [3206]" strokeweight="5pt">
              <v:stroke linestyle="thickThin"/>
              <v:shadow color="#868686"/>
              <v:textbox>
                <w:txbxContent>
                  <w:p w:rsidR="004E5E91" w:rsidRPr="004E5E91" w:rsidRDefault="004E5E91" w:rsidP="004E5E91">
                    <w:r>
                      <w:t>ή</w:t>
                    </w:r>
                  </w:p>
                </w:txbxContent>
              </v:textbox>
            </v:shape>
            <v:shape id="_x0000_s1039" type="#_x0000_t202" style="position:absolute;left:7995;top:14040;width:975;height:645" fillcolor="white [3201]" strokecolor="#c2d69b [1942]" strokeweight="1pt">
              <v:fill color2="#d6e3bc [1302]" focusposition="1" focussize="" focus="100%" type="gradient"/>
              <v:shadow on="t" type="perspective" color="#4e6128 [1606]" opacity=".5" offset="1pt" offset2="-3pt"/>
              <v:textbox>
                <w:txbxContent>
                  <w:p w:rsidR="004E5E91" w:rsidRPr="002A62CE" w:rsidRDefault="00890409" w:rsidP="004E5E91">
                    <w:pPr>
                      <w:rPr>
                        <w:lang w:val="en-US"/>
                      </w:rPr>
                    </w:pPr>
                    <m:oMath>
                      <m:f>
                        <m:fPr>
                          <m:ctrlPr>
                            <w:rPr>
                              <w:rFonts w:ascii="Cambria Math" w:hAnsiTheme="minorHAnsi"/>
                              <w:i/>
                              <w:sz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Theme="minorHAnsi"/>
                              <w:sz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Theme="minorHAnsi"/>
                              <w:sz w:val="24"/>
                            </w:rPr>
                            <m:t>2</m:t>
                          </m:r>
                        </m:den>
                      </m:f>
                    </m:oMath>
                    <w:r w:rsidR="004E5E91">
                      <w:t xml:space="preserve"> </w:t>
                    </w:r>
                    <w:r w:rsidR="004E5E91">
                      <w:rPr>
                        <w:lang w:val="en-US"/>
                      </w:rPr>
                      <w:t xml:space="preserve"> </w:t>
                    </w:r>
                    <w:proofErr w:type="spellStart"/>
                    <w:proofErr w:type="gramStart"/>
                    <w:r w:rsidR="004E5E91">
                      <w:rPr>
                        <w:lang w:val="en-US"/>
                      </w:rPr>
                      <w:t>mAs</w:t>
                    </w:r>
                    <w:proofErr w:type="spellEnd"/>
                    <w:proofErr w:type="gramEnd"/>
                  </w:p>
                </w:txbxContent>
              </v:textbox>
            </v:shape>
            <v:shapetype id="_x0000_t69" coordsize="21600,21600" o:spt="69" adj="4320,5400" path="m,10800l@0,21600@0@3@2@3@2,21600,21600,10800@2,0@2@1@0@1@0,xe">
              <v:stroke joinstyle="miter"/>
              <v:formulas>
                <v:f eqn="val #0"/>
                <v:f eqn="val #1"/>
                <v:f eqn="sum 21600 0 #0"/>
                <v:f eqn="sum 21600 0 #1"/>
                <v:f eqn="prod #0 #1 10800"/>
                <v:f eqn="sum #0 0 @4"/>
                <v:f eqn="sum 21600 0 @5"/>
              </v:formulas>
              <v:path o:connecttype="custom" o:connectlocs="@2,0;10800,@1;@0,0;0,10800;@0,21600;10800,@3;@2,21600;21600,10800" o:connectangles="270,270,270,180,90,90,90,0" textboxrect="@5,@1,@6,@3"/>
              <v:handles>
                <v:h position="#0,#1" xrange="0,10800" yrange="0,10800"/>
              </v:handles>
            </v:shapetype>
            <v:shape id="_x0000_s1040" type="#_x0000_t69" style="position:absolute;left:3769;top:12199;width:4713;height:144;rotation:2593083fd" fillcolor="#ffc000" strokecolor="#ffc000"/>
            <v:shape id="_x0000_s1041" type="#_x0000_t69" style="position:absolute;left:3589;top:12199;width:4713;height:144;rotation:-2836423fd" fillcolor="#00b050" strokecolor="#92d050"/>
            <v:shape id="_x0000_s1042" type="#_x0000_t202" style="position:absolute;left:1125;top:14115;width:1185;height:465" fillcolor="white [3201]" strokecolor="#c2d69b [1942]" strokeweight="1pt">
              <v:fill color2="#d6e3bc [1302]" focusposition="1" focussize="" focus="100%" type="gradient"/>
              <v:shadow on="t" type="perspective" color="#4e6128 [1606]" opacity=".5" offset="1pt" offset2="-3pt"/>
              <v:textbox>
                <w:txbxContent>
                  <w:p w:rsidR="004E5E91" w:rsidRPr="002A62CE" w:rsidRDefault="004E5E91" w:rsidP="004E5E91">
                    <w:pPr>
                      <w:rPr>
                        <w:lang w:val="en-US"/>
                      </w:rPr>
                    </w:pPr>
                    <w:r>
                      <w:t xml:space="preserve">ΟΠ </w:t>
                    </w:r>
                    <w:r w:rsidR="00D360F4">
                      <w:t>-</w:t>
                    </w:r>
                    <w:r>
                      <w:t xml:space="preserve"> 0.3</w:t>
                    </w:r>
                  </w:p>
                </w:txbxContent>
              </v:textbox>
            </v:shape>
          </v:group>
        </w:pict>
      </w:r>
    </w:p>
    <w:p w:rsidR="00D360F4" w:rsidRPr="00D360F4" w:rsidRDefault="00D360F4" w:rsidP="00D360F4"/>
    <w:p w:rsidR="00D360F4" w:rsidRPr="00D360F4" w:rsidRDefault="00D360F4" w:rsidP="00D360F4"/>
    <w:p w:rsidR="00D360F4" w:rsidRPr="00D360F4" w:rsidRDefault="00D360F4" w:rsidP="00D360F4"/>
    <w:p w:rsidR="00D360F4" w:rsidRPr="00D360F4" w:rsidRDefault="00D360F4" w:rsidP="00D360F4"/>
    <w:p w:rsidR="00D360F4" w:rsidRPr="00D360F4" w:rsidRDefault="00D360F4" w:rsidP="00D360F4"/>
    <w:p w:rsidR="00D360F4" w:rsidRPr="00D360F4" w:rsidRDefault="00D360F4" w:rsidP="00D360F4"/>
    <w:p w:rsidR="00D360F4" w:rsidRPr="00D360F4" w:rsidRDefault="00D360F4" w:rsidP="00D360F4"/>
    <w:p w:rsidR="00D360F4" w:rsidRDefault="00D360F4" w:rsidP="00D360F4"/>
    <w:p w:rsidR="00E43840" w:rsidRDefault="00E43840" w:rsidP="00D360F4">
      <w:pPr>
        <w:jc w:val="right"/>
      </w:pPr>
    </w:p>
    <w:p w:rsidR="00FC0298" w:rsidRDefault="00FC0298" w:rsidP="00425D7F">
      <w:pPr>
        <w:pStyle w:val="NoSpacing"/>
        <w:jc w:val="center"/>
        <w:rPr>
          <w:b/>
        </w:rPr>
      </w:pPr>
    </w:p>
    <w:p w:rsidR="00425D7F" w:rsidRPr="00425D7F" w:rsidRDefault="00425D7F" w:rsidP="00425D7F">
      <w:pPr>
        <w:pStyle w:val="NoSpacing"/>
        <w:jc w:val="center"/>
        <w:rPr>
          <w:b/>
        </w:rPr>
      </w:pPr>
      <w:r w:rsidRPr="00425D7F">
        <w:rPr>
          <w:b/>
        </w:rPr>
        <w:t>Εφαρμογή του κανόνα 15% για διατήρηση της Οπτικής πυκνότητας</w:t>
      </w:r>
    </w:p>
    <w:p w:rsidR="00425D7F" w:rsidRDefault="00425D7F" w:rsidP="00425D7F">
      <w:pPr>
        <w:pStyle w:val="NoSpacing"/>
      </w:pPr>
    </w:p>
    <w:p w:rsidR="00425D7F" w:rsidRDefault="00425D7F" w:rsidP="00425D7F">
      <w:pPr>
        <w:pStyle w:val="NoSpacing"/>
      </w:pPr>
      <w:r>
        <w:t>Ό</w:t>
      </w:r>
      <w:r w:rsidRPr="00425D7F">
        <w:t>πως φαίνεται στο παραπάνω σχήμα</w:t>
      </w:r>
      <w:r>
        <w:t>:</w:t>
      </w:r>
    </w:p>
    <w:p w:rsidR="00D360F4" w:rsidRPr="00425D7F" w:rsidRDefault="00425D7F" w:rsidP="00425D7F">
      <w:pPr>
        <w:pStyle w:val="NoSpacing"/>
        <w:numPr>
          <w:ilvl w:val="0"/>
          <w:numId w:val="12"/>
        </w:numPr>
      </w:pPr>
      <w:r w:rsidRPr="00425D7F">
        <w:t xml:space="preserve">Για να διατηρήσουμε την ΟΠ σταθερή όταν αυξάνονται τα </w:t>
      </w:r>
      <w:r w:rsidRPr="00425D7F">
        <w:rPr>
          <w:lang w:val="en-US"/>
        </w:rPr>
        <w:t>kV</w:t>
      </w:r>
      <w:r w:rsidRPr="00425D7F">
        <w:t xml:space="preserve"> κατά 15% και οι άλλες παράμετροι παραμένουν σταθερές, χρησιμοποιούμε ½ </w:t>
      </w:r>
      <w:proofErr w:type="spellStart"/>
      <w:r w:rsidRPr="00425D7F">
        <w:rPr>
          <w:lang w:val="en-US"/>
        </w:rPr>
        <w:t>mAs</w:t>
      </w:r>
      <w:proofErr w:type="spellEnd"/>
      <w:r w:rsidRPr="00425D7F">
        <w:t>.</w:t>
      </w:r>
    </w:p>
    <w:p w:rsidR="00425D7F" w:rsidRPr="00425D7F" w:rsidRDefault="00425D7F" w:rsidP="00425D7F">
      <w:pPr>
        <w:pStyle w:val="NoSpacing"/>
        <w:numPr>
          <w:ilvl w:val="0"/>
          <w:numId w:val="12"/>
        </w:numPr>
      </w:pPr>
      <w:r w:rsidRPr="00425D7F">
        <w:t xml:space="preserve">Για να διατηρήσουμε την ΟΠ σταθερή, όταν μειώνονται τα </w:t>
      </w:r>
      <w:r w:rsidRPr="00425D7F">
        <w:rPr>
          <w:lang w:val="en-US"/>
        </w:rPr>
        <w:t>kV</w:t>
      </w:r>
      <w:r w:rsidRPr="00425D7F">
        <w:t xml:space="preserve"> κατά 15% και οι άλλες παράμετροι παραμένουν σταθερές, χρησιμοποιούμε 2 </w:t>
      </w:r>
      <w:r w:rsidRPr="00425D7F">
        <w:rPr>
          <w:lang w:val="en-US"/>
        </w:rPr>
        <w:t>x</w:t>
      </w:r>
      <w:r w:rsidRPr="00425D7F">
        <w:t xml:space="preserve"> </w:t>
      </w:r>
      <w:proofErr w:type="spellStart"/>
      <w:r w:rsidRPr="00425D7F">
        <w:rPr>
          <w:lang w:val="en-US"/>
        </w:rPr>
        <w:t>mAs</w:t>
      </w:r>
      <w:proofErr w:type="spellEnd"/>
    </w:p>
    <w:p w:rsidR="00D360F4" w:rsidRPr="00425D7F" w:rsidRDefault="00D360F4" w:rsidP="00D360F4">
      <w:pPr>
        <w:jc w:val="right"/>
      </w:pPr>
    </w:p>
    <w:p w:rsidR="00D360F4" w:rsidRPr="00425D7F" w:rsidRDefault="00FC0298" w:rsidP="00D360F4">
      <w:r>
        <w:t>ΣΗΜΕΙΩΣΗ: Η ταχύτητα αναφέρεται στην κασέτα και αφορά τη συνολική απόδοση των ΕΠ. Δηλαδή σε μια κασέτα με δύο ΕΠ ταχύτητας 400 εάν αφαιρέσουμε εμείς την μια πινακίδα η ταχύτητα θα μειωθεί .</w:t>
      </w:r>
    </w:p>
    <w:sectPr w:rsidR="00D360F4" w:rsidRPr="00425D7F" w:rsidSect="0097035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1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0203B"/>
    <w:multiLevelType w:val="hybridMultilevel"/>
    <w:tmpl w:val="7FF41B42"/>
    <w:lvl w:ilvl="0" w:tplc="5D38C4C6">
      <w:start w:val="1"/>
      <w:numFmt w:val="bullet"/>
      <w:lvlText w:val="⎕"/>
      <w:lvlJc w:val="left"/>
      <w:pPr>
        <w:ind w:left="720" w:hanging="360"/>
      </w:pPr>
      <w:rPr>
        <w:rFonts w:ascii="Cambria" w:hAnsi="Cambria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601BFC"/>
    <w:multiLevelType w:val="hybridMultilevel"/>
    <w:tmpl w:val="9162D52A"/>
    <w:lvl w:ilvl="0" w:tplc="2F2038B0">
      <w:start w:val="1"/>
      <w:numFmt w:val="lowerLetter"/>
      <w:lvlText w:val="%1)"/>
      <w:lvlJc w:val="left"/>
      <w:pPr>
        <w:ind w:left="1080" w:hanging="360"/>
      </w:pPr>
      <w:rPr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81446AD"/>
    <w:multiLevelType w:val="hybridMultilevel"/>
    <w:tmpl w:val="FA60CBB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E4465D"/>
    <w:multiLevelType w:val="hybridMultilevel"/>
    <w:tmpl w:val="7212AC4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9A0467"/>
    <w:multiLevelType w:val="hybridMultilevel"/>
    <w:tmpl w:val="35DA342C"/>
    <w:lvl w:ilvl="0" w:tplc="0409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3B4C0291"/>
    <w:multiLevelType w:val="hybridMultilevel"/>
    <w:tmpl w:val="CF92D4F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8E77EAA"/>
    <w:multiLevelType w:val="hybridMultilevel"/>
    <w:tmpl w:val="2F30C6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156FB9"/>
    <w:multiLevelType w:val="hybridMultilevel"/>
    <w:tmpl w:val="7212AC4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4F7AFE"/>
    <w:multiLevelType w:val="hybridMultilevel"/>
    <w:tmpl w:val="303A938C"/>
    <w:lvl w:ilvl="0" w:tplc="FFA4BC5C">
      <w:start w:val="1"/>
      <w:numFmt w:val="lowerLetter"/>
      <w:lvlText w:val="%1)"/>
      <w:lvlJc w:val="left"/>
      <w:pPr>
        <w:ind w:left="720" w:hanging="360"/>
      </w:pPr>
      <w:rPr>
        <w:b w:val="0"/>
        <w:i w:val="0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ED5383"/>
    <w:multiLevelType w:val="hybridMultilevel"/>
    <w:tmpl w:val="18CA5280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6C0B2832"/>
    <w:multiLevelType w:val="hybridMultilevel"/>
    <w:tmpl w:val="94B0A0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E65C3B"/>
    <w:multiLevelType w:val="hybridMultilevel"/>
    <w:tmpl w:val="F97C93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156C5D"/>
    <w:multiLevelType w:val="hybridMultilevel"/>
    <w:tmpl w:val="081C9558"/>
    <w:lvl w:ilvl="0" w:tplc="7D5CC61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12"/>
  </w:num>
  <w:num w:numId="5">
    <w:abstractNumId w:val="0"/>
  </w:num>
  <w:num w:numId="6">
    <w:abstractNumId w:val="9"/>
  </w:num>
  <w:num w:numId="7">
    <w:abstractNumId w:val="6"/>
  </w:num>
  <w:num w:numId="8">
    <w:abstractNumId w:val="8"/>
  </w:num>
  <w:num w:numId="9">
    <w:abstractNumId w:val="11"/>
  </w:num>
  <w:num w:numId="10">
    <w:abstractNumId w:val="1"/>
  </w:num>
  <w:num w:numId="11">
    <w:abstractNumId w:val="4"/>
  </w:num>
  <w:num w:numId="12">
    <w:abstractNumId w:val="10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2950"/>
    <w:rsid w:val="00004004"/>
    <w:rsid w:val="00080B37"/>
    <w:rsid w:val="000F181C"/>
    <w:rsid w:val="000F4885"/>
    <w:rsid w:val="002077B1"/>
    <w:rsid w:val="002A62CE"/>
    <w:rsid w:val="002F349A"/>
    <w:rsid w:val="00377628"/>
    <w:rsid w:val="003E03FF"/>
    <w:rsid w:val="003F4D55"/>
    <w:rsid w:val="00425D7F"/>
    <w:rsid w:val="004D642B"/>
    <w:rsid w:val="004E5E91"/>
    <w:rsid w:val="00560215"/>
    <w:rsid w:val="005921BF"/>
    <w:rsid w:val="00630099"/>
    <w:rsid w:val="00632950"/>
    <w:rsid w:val="00717D65"/>
    <w:rsid w:val="007F7B05"/>
    <w:rsid w:val="0085416C"/>
    <w:rsid w:val="00890409"/>
    <w:rsid w:val="009625B8"/>
    <w:rsid w:val="0097035C"/>
    <w:rsid w:val="00AA285D"/>
    <w:rsid w:val="00BB0A11"/>
    <w:rsid w:val="00C07320"/>
    <w:rsid w:val="00CC7C68"/>
    <w:rsid w:val="00D360F4"/>
    <w:rsid w:val="00E43840"/>
    <w:rsid w:val="00ED4017"/>
    <w:rsid w:val="00ED77BC"/>
    <w:rsid w:val="00F85F04"/>
    <w:rsid w:val="00FC0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#ffc000" strokecolor="none [1606]"/>
    </o:shapedefaults>
    <o:shapelayout v:ext="edit">
      <o:idmap v:ext="edit" data="1"/>
      <o:rules v:ext="edit">
        <o:r id="V:Rule5" type="connector" idref="#_x0000_s1026"/>
        <o:r id="V:Rule6" type="connector" idref="#_x0000_s1028"/>
        <o:r id="V:Rule7" type="connector" idref="#_x0000_s1030"/>
        <o:r id="V:Rule8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35C"/>
    <w:pPr>
      <w:spacing w:after="200" w:line="276" w:lineRule="auto"/>
    </w:pPr>
    <w:rPr>
      <w:sz w:val="22"/>
      <w:szCs w:val="22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295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D77B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7BC"/>
    <w:rPr>
      <w:rFonts w:ascii="Tahoma" w:hAnsi="Tahoma" w:cs="Tahoma"/>
      <w:sz w:val="16"/>
      <w:szCs w:val="16"/>
      <w:lang w:val="el-GR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77B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D77B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l-GR"/>
    </w:rPr>
  </w:style>
  <w:style w:type="paragraph" w:styleId="NoSpacing">
    <w:name w:val="No Spacing"/>
    <w:uiPriority w:val="1"/>
    <w:qFormat/>
    <w:rsid w:val="00004004"/>
    <w:rPr>
      <w:sz w:val="22"/>
      <w:szCs w:val="22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901</Words>
  <Characters>5137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6026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Angeliki</dc:creator>
  <cp:lastModifiedBy>Georgia</cp:lastModifiedBy>
  <cp:revision>6</cp:revision>
  <dcterms:created xsi:type="dcterms:W3CDTF">2014-11-22T10:05:00Z</dcterms:created>
  <dcterms:modified xsi:type="dcterms:W3CDTF">2014-11-22T11:52:00Z</dcterms:modified>
</cp:coreProperties>
</file>