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BF9" w:rsidRDefault="00FA4BF9" w:rsidP="00FA4BF9">
      <w:pPr>
        <w:pStyle w:val="Heading1"/>
      </w:pPr>
      <w:r>
        <w:t>ΒΑΣΙΚΕΣ ΕΝΝΟΙΕΣ ΥΠΟΛΟΓΙΣΤΩΝ</w:t>
      </w:r>
    </w:p>
    <w:p w:rsidR="00FA4BF9" w:rsidRDefault="00FA4BF9" w:rsidP="00FA4BF9">
      <w:pPr>
        <w:pStyle w:val="NoSpacing"/>
        <w:spacing w:before="120"/>
        <w:jc w:val="both"/>
      </w:pPr>
      <w:r>
        <w:t>Η λέξη ηλεκτρονικός υπολογιστής (Η/Υ) αναφέρεται σε κάθε ηλεκτρονικό ψηφιακό υπολογιστή με αποθηκευμένο πρόγραμμα</w:t>
      </w:r>
    </w:p>
    <w:p w:rsidR="00FA4BF9" w:rsidRDefault="00FA4BF9" w:rsidP="00FA4BF9">
      <w:pPr>
        <w:pStyle w:val="NoSpacing"/>
        <w:spacing w:before="120"/>
        <w:jc w:val="both"/>
      </w:pPr>
      <w:r>
        <w:t>Αναλογική είναι μια ποσότητα που υφίσταται συνεχή μεταβολή τιμής. Τα ψηφιακά συστήματα χρησιμοποιούν μόνο τιμές που μεταβάλλονται διακριτά με κωδικοποίηση.</w:t>
      </w:r>
    </w:p>
    <w:p w:rsidR="00FA4BF9" w:rsidRDefault="00FA4BF9" w:rsidP="00FA4BF9">
      <w:pPr>
        <w:pStyle w:val="NoSpacing"/>
        <w:spacing w:before="120"/>
        <w:jc w:val="both"/>
      </w:pPr>
      <w:r>
        <w:t>Οι υπολογιστές διαφέρουν από τις αριθμομηχανές επειδή εκτος από αριθμητικές πράξεις κάνουν και λογικές διεργασίες. Οι λογικές διεργασίες επεξεργάζονται ένα ενδιάμεσο αποτέλεσμα και προχωρούν σε υπολογισμούς με βάση αυτό το αποτέλεσμα. Δηλαδή, υπακούουν σε παραγγέλματα του τύπου «πράξε....», «εάν....», «τότε....», «διαφορετικά....»</w:t>
      </w:r>
    </w:p>
    <w:p w:rsidR="00FA4BF9" w:rsidRDefault="00FA4BF9" w:rsidP="00FA4BF9">
      <w:pPr>
        <w:pStyle w:val="NoSpacing"/>
        <w:numPr>
          <w:ilvl w:val="0"/>
          <w:numId w:val="1"/>
        </w:numPr>
        <w:spacing w:before="120"/>
        <w:jc w:val="both"/>
      </w:pPr>
      <w:r>
        <w:t xml:space="preserve">Ο </w:t>
      </w:r>
      <w:r w:rsidRPr="00863A9C">
        <w:rPr>
          <w:u w:val="single"/>
        </w:rPr>
        <w:t>λειτουργικό</w:t>
      </w:r>
      <w:r>
        <w:rPr>
          <w:u w:val="single"/>
        </w:rPr>
        <w:t>ς εξοπλισμός</w:t>
      </w:r>
      <w:r w:rsidRPr="00863A9C">
        <w:rPr>
          <w:u w:val="single"/>
        </w:rPr>
        <w:t xml:space="preserve"> εισόδου</w:t>
      </w:r>
      <w:r>
        <w:t xml:space="preserve"> του Η/Υ</w:t>
      </w:r>
      <w:r w:rsidRPr="009C3C2F">
        <w:t xml:space="preserve"> </w:t>
      </w:r>
      <w:r>
        <w:t>μετατρέπει δεδομένα μιας μορφής σε μορφή που να αντιλαμβάνεται ο υπολογιστής</w:t>
      </w:r>
    </w:p>
    <w:p w:rsidR="00FA4BF9" w:rsidRDefault="00FA4BF9" w:rsidP="00FA4BF9">
      <w:pPr>
        <w:pStyle w:val="NoSpacing"/>
        <w:numPr>
          <w:ilvl w:val="0"/>
          <w:numId w:val="1"/>
        </w:numPr>
        <w:spacing w:before="120"/>
        <w:jc w:val="both"/>
      </w:pPr>
      <w:r>
        <w:t xml:space="preserve">Το ηλεκτρονικό κύκλωμα που κάνει τους υπολογισμούς και η μνήμη που το υποστηρίζει ονομάζονται με ένα όνομα </w:t>
      </w:r>
      <w:r w:rsidRPr="00863A9C">
        <w:rPr>
          <w:u w:val="single"/>
        </w:rPr>
        <w:t>επεξεργαστής</w:t>
      </w:r>
    </w:p>
    <w:p w:rsidR="00FA4BF9" w:rsidRDefault="00FA4BF9" w:rsidP="00FA4BF9">
      <w:pPr>
        <w:pStyle w:val="NoSpacing"/>
        <w:numPr>
          <w:ilvl w:val="0"/>
          <w:numId w:val="1"/>
        </w:numPr>
        <w:spacing w:before="120"/>
        <w:jc w:val="both"/>
      </w:pPr>
      <w:r>
        <w:t xml:space="preserve">Η </w:t>
      </w:r>
      <w:r w:rsidRPr="00863A9C">
        <w:rPr>
          <w:u w:val="single"/>
        </w:rPr>
        <w:t>κεντρική μνήμη</w:t>
      </w:r>
      <w:r>
        <w:t xml:space="preserve"> του Η/Υ είναι η αποθήκη του υπολογιστή που λείναι ενεργή κατά τη λειτουργία του</w:t>
      </w:r>
    </w:p>
    <w:p w:rsidR="00FA4BF9" w:rsidRDefault="00FA4BF9" w:rsidP="00FA4BF9">
      <w:pPr>
        <w:pStyle w:val="NoSpacing"/>
        <w:numPr>
          <w:ilvl w:val="0"/>
          <w:numId w:val="1"/>
        </w:numPr>
        <w:spacing w:before="120"/>
        <w:jc w:val="both"/>
      </w:pPr>
      <w:r>
        <w:t xml:space="preserve">Ο </w:t>
      </w:r>
      <w:r w:rsidRPr="000C0AC9">
        <w:rPr>
          <w:u w:val="single"/>
        </w:rPr>
        <w:t>λειτουργικός εξοπλισμός εξόδου</w:t>
      </w:r>
      <w:r>
        <w:t xml:space="preserve"> του Η/Υ απαρτίζουν συσκευές που μετατρέπουν πληροφορίες από τον υπολογιστή σε μορφή που μπορεί να καταλάβει ο άνθρωπος. </w:t>
      </w:r>
    </w:p>
    <w:p w:rsidR="00FA4BF9" w:rsidRDefault="00FA4BF9" w:rsidP="00FA4BF9">
      <w:pPr>
        <w:pStyle w:val="NoSpacing"/>
        <w:numPr>
          <w:ilvl w:val="0"/>
          <w:numId w:val="1"/>
        </w:numPr>
        <w:spacing w:before="120"/>
        <w:jc w:val="both"/>
      </w:pPr>
      <w:r>
        <w:t>Τηλεακτινολογία είναι η μεταφορά εικόνων και αναφορών για τον ασθενή σε απομακρυσμένες θέσεις.</w:t>
      </w:r>
    </w:p>
    <w:p w:rsidR="00FA4BF9" w:rsidRDefault="00FA4BF9" w:rsidP="00FA4BF9">
      <w:pPr>
        <w:pStyle w:val="NoSpacing"/>
        <w:numPr>
          <w:ilvl w:val="0"/>
          <w:numId w:val="1"/>
        </w:numPr>
        <w:spacing w:before="120"/>
        <w:jc w:val="both"/>
      </w:pPr>
      <w:r>
        <w:t xml:space="preserve">Ο όρος </w:t>
      </w:r>
      <w:r w:rsidRPr="00D73424">
        <w:rPr>
          <w:u w:val="single"/>
        </w:rPr>
        <w:t xml:space="preserve">λογισμικό </w:t>
      </w:r>
      <w:r>
        <w:t>του Η/Υ αναφέρεται σε σειρά οδηγιών γραμμένων στη γλώσσα των υπολογιστών τις οποίες ακολουθεί ο υπολογιστής για να εκτελέσει τις προγραμματισμένες λειτουργίες του</w:t>
      </w:r>
    </w:p>
    <w:p w:rsidR="00FA4BF9" w:rsidRDefault="00FA4BF9" w:rsidP="00FA4BF9">
      <w:pPr>
        <w:pStyle w:val="NoSpacing"/>
        <w:numPr>
          <w:ilvl w:val="0"/>
          <w:numId w:val="1"/>
        </w:numPr>
        <w:spacing w:before="120"/>
        <w:jc w:val="both"/>
      </w:pPr>
      <w:r w:rsidRPr="00863A9C">
        <w:rPr>
          <w:u w:val="single"/>
        </w:rPr>
        <w:t>Κωδικοποίηση</w:t>
      </w:r>
      <w:r>
        <w:t xml:space="preserve"> είναι η μετατροπή συνηθισμένων χαρακτήρων σε χαρακτήρες συμβατούς με τον υπολογιστή – δυαδικούς αριθμούς</w:t>
      </w:r>
    </w:p>
    <w:p w:rsidR="00FA4BF9" w:rsidRDefault="00FA4BF9" w:rsidP="00FA4BF9">
      <w:pPr>
        <w:pStyle w:val="NoSpacing"/>
        <w:numPr>
          <w:ilvl w:val="0"/>
          <w:numId w:val="1"/>
        </w:numPr>
        <w:spacing w:before="120"/>
        <w:jc w:val="both"/>
      </w:pPr>
      <w:r>
        <w:t xml:space="preserve">Τα </w:t>
      </w:r>
      <w:r w:rsidRPr="00D73424">
        <w:rPr>
          <w:u w:val="single"/>
        </w:rPr>
        <w:t>προγράμματα</w:t>
      </w:r>
      <w:r>
        <w:t xml:space="preserve"> του Η/Υ είναι το λογισμικό των υπολογιστών</w:t>
      </w:r>
    </w:p>
    <w:p w:rsidR="00FA4BF9" w:rsidRPr="00205244" w:rsidRDefault="00FA4BF9" w:rsidP="00FA4BF9">
      <w:pPr>
        <w:pStyle w:val="Heading1"/>
        <w:rPr>
          <w:lang w:val="en-US"/>
        </w:rPr>
      </w:pPr>
      <w:r>
        <w:t>ΒΑΣΙΚΕΣ ΕΝΝΟΙΕΣ ΨΗΦΙΑΚΗΣ ΕΙΚΟΝΑΣ</w:t>
      </w:r>
    </w:p>
    <w:p w:rsidR="00FA4BF9" w:rsidRDefault="00FA4BF9" w:rsidP="00FA4BF9">
      <w:pPr>
        <w:pStyle w:val="NoSpacing"/>
        <w:rPr>
          <w:lang w:val="en-US"/>
        </w:rPr>
      </w:pPr>
    </w:p>
    <w:p w:rsidR="00FA4BF9" w:rsidRPr="00205244" w:rsidRDefault="00FA4BF9" w:rsidP="00FA4BF9">
      <w:pPr>
        <w:pStyle w:val="NoSpacing"/>
        <w:numPr>
          <w:ilvl w:val="0"/>
          <w:numId w:val="3"/>
        </w:numPr>
        <w:spacing w:before="120"/>
        <w:ind w:left="720"/>
        <w:jc w:val="both"/>
      </w:pPr>
      <w:r w:rsidRPr="006970BB">
        <w:rPr>
          <w:b/>
          <w:lang w:val="en-US"/>
        </w:rPr>
        <w:t>Pixel</w:t>
      </w:r>
      <w:r w:rsidRPr="006970BB">
        <w:rPr>
          <w:b/>
        </w:rPr>
        <w:t xml:space="preserve"> </w:t>
      </w:r>
      <w:r>
        <w:t>–</w:t>
      </w:r>
      <w:r w:rsidRPr="00205244">
        <w:t xml:space="preserve"> </w:t>
      </w:r>
      <w:r w:rsidRPr="007175BB">
        <w:rPr>
          <w:lang w:val="en-US"/>
        </w:rPr>
        <w:t>Picture</w:t>
      </w:r>
      <w:r w:rsidRPr="00205244">
        <w:t xml:space="preserve"> </w:t>
      </w:r>
      <w:r w:rsidRPr="007175BB">
        <w:rPr>
          <w:lang w:val="en-US"/>
        </w:rPr>
        <w:t>element</w:t>
      </w:r>
      <w:r w:rsidRPr="00205244">
        <w:t xml:space="preserve">.  </w:t>
      </w:r>
      <w:r>
        <w:t>ΕΙΚΟΝΟΣΤΟΙΧΕΙΟ</w:t>
      </w:r>
      <w:r w:rsidRPr="00205244">
        <w:t xml:space="preserve">. </w:t>
      </w:r>
      <w:r>
        <w:t xml:space="preserve"> Το μικρότερο</w:t>
      </w:r>
      <w:r w:rsidRPr="007175BB">
        <w:t xml:space="preserve"> </w:t>
      </w:r>
      <w:r>
        <w:t>κομμάτι</w:t>
      </w:r>
      <w:r w:rsidRPr="007175BB">
        <w:t xml:space="preserve"> </w:t>
      </w:r>
      <w:r>
        <w:t>της</w:t>
      </w:r>
      <w:r w:rsidRPr="007175BB">
        <w:t xml:space="preserve"> </w:t>
      </w:r>
      <w:r>
        <w:t>εικόνας. Έχει</w:t>
      </w:r>
      <w:r w:rsidRPr="00205244">
        <w:t xml:space="preserve"> </w:t>
      </w:r>
      <w:r>
        <w:t>δύο</w:t>
      </w:r>
      <w:r w:rsidRPr="00205244">
        <w:t xml:space="preserve"> </w:t>
      </w:r>
      <w:r>
        <w:t>διαστάσεις</w:t>
      </w:r>
      <w:r w:rsidRPr="00205244">
        <w:t xml:space="preserve">. </w:t>
      </w:r>
      <w:r>
        <w:t>Είναι</w:t>
      </w:r>
      <w:r w:rsidRPr="00205244">
        <w:t xml:space="preserve"> </w:t>
      </w:r>
      <w:r>
        <w:t>αυτό</w:t>
      </w:r>
      <w:r w:rsidRPr="00205244">
        <w:t xml:space="preserve"> </w:t>
      </w:r>
      <w:r>
        <w:t>που</w:t>
      </w:r>
      <w:r w:rsidRPr="00205244">
        <w:t xml:space="preserve"> </w:t>
      </w:r>
      <w:r>
        <w:t>βλέπουμε.</w:t>
      </w:r>
    </w:p>
    <w:p w:rsidR="00FA4BF9" w:rsidRDefault="00FA4BF9" w:rsidP="00FA4BF9">
      <w:pPr>
        <w:pStyle w:val="NoSpacing"/>
        <w:numPr>
          <w:ilvl w:val="0"/>
          <w:numId w:val="3"/>
        </w:numPr>
        <w:spacing w:before="120"/>
        <w:ind w:left="720"/>
        <w:jc w:val="both"/>
      </w:pPr>
      <w:r w:rsidRPr="006970BB">
        <w:rPr>
          <w:b/>
        </w:rPr>
        <w:t xml:space="preserve">Voxel </w:t>
      </w:r>
      <w:r>
        <w:t xml:space="preserve">– </w:t>
      </w:r>
      <w:r w:rsidRPr="00205244">
        <w:t xml:space="preserve">Volume element.  </w:t>
      </w:r>
      <w:r>
        <w:t>ΟΓΚΟΣΤΟΙΧΕΙΟ</w:t>
      </w:r>
      <w:r w:rsidRPr="00205244">
        <w:t xml:space="preserve">. </w:t>
      </w:r>
      <w:r>
        <w:t>Είναι</w:t>
      </w:r>
      <w:r w:rsidRPr="00205244">
        <w:t xml:space="preserve"> </w:t>
      </w:r>
      <w:r>
        <w:t>τρισδιάστατο</w:t>
      </w:r>
      <w:r w:rsidRPr="00205244">
        <w:t xml:space="preserve">. </w:t>
      </w:r>
      <w:r>
        <w:t>Έχει</w:t>
      </w:r>
      <w:r w:rsidRPr="00205244">
        <w:t xml:space="preserve"> </w:t>
      </w:r>
      <w:r>
        <w:t>επιφάνεια</w:t>
      </w:r>
      <w:r w:rsidRPr="00205244">
        <w:t xml:space="preserve"> </w:t>
      </w:r>
      <w:r>
        <w:t>και</w:t>
      </w:r>
      <w:r w:rsidRPr="00205244">
        <w:t xml:space="preserve"> </w:t>
      </w:r>
      <w:r>
        <w:t>βάθος</w:t>
      </w:r>
      <w:r w:rsidRPr="00205244">
        <w:t xml:space="preserve">. </w:t>
      </w:r>
      <w:r>
        <w:t>Το</w:t>
      </w:r>
      <w:r w:rsidRPr="00205244">
        <w:t xml:space="preserve"> pixel </w:t>
      </w:r>
      <w:r>
        <w:t>είναι</w:t>
      </w:r>
      <w:r w:rsidRPr="00205244">
        <w:t xml:space="preserve"> </w:t>
      </w:r>
      <w:r>
        <w:t>η</w:t>
      </w:r>
      <w:r w:rsidRPr="00205244">
        <w:t xml:space="preserve"> </w:t>
      </w:r>
      <w:r>
        <w:t>επιφάνεια</w:t>
      </w:r>
      <w:r w:rsidRPr="00205244">
        <w:t xml:space="preserve"> </w:t>
      </w:r>
      <w:r>
        <w:t>του</w:t>
      </w:r>
      <w:r w:rsidRPr="00205244">
        <w:t xml:space="preserve"> voxel </w:t>
      </w:r>
      <w:r>
        <w:t>που</w:t>
      </w:r>
      <w:r w:rsidRPr="00205244">
        <w:t xml:space="preserve"> </w:t>
      </w:r>
      <w:r>
        <w:t>βλέπουμε στην εικόνα μας</w:t>
      </w:r>
    </w:p>
    <w:p w:rsidR="00FA4BF9" w:rsidRDefault="00FA4BF9" w:rsidP="00FA4BF9">
      <w:pPr>
        <w:pStyle w:val="NoSpacing"/>
        <w:numPr>
          <w:ilvl w:val="0"/>
          <w:numId w:val="3"/>
        </w:numPr>
        <w:spacing w:before="120"/>
        <w:ind w:left="720"/>
        <w:jc w:val="both"/>
      </w:pPr>
      <w:r w:rsidRPr="006970BB">
        <w:rPr>
          <w:b/>
          <w:lang w:val="en-US"/>
        </w:rPr>
        <w:t>Matrix</w:t>
      </w:r>
      <w:r>
        <w:t xml:space="preserve"> – ΜΗΤΡΑ, η εικόνα απαρτίζεται από σειρές και στήλες εικονοστοιχείων. Η μήτρα περιγράφεται 128Χ128, 512Χ512 κλπ. Γενικά, όσο</w:t>
      </w:r>
      <w:r w:rsidRPr="00205244">
        <w:t xml:space="preserve"> </w:t>
      </w:r>
      <w:r>
        <w:t>πιο</w:t>
      </w:r>
      <w:r w:rsidRPr="00205244">
        <w:t xml:space="preserve"> </w:t>
      </w:r>
      <w:r>
        <w:t>πολλά</w:t>
      </w:r>
      <w:r w:rsidRPr="00205244">
        <w:t xml:space="preserve"> </w:t>
      </w:r>
      <w:r>
        <w:t>τα</w:t>
      </w:r>
      <w:r w:rsidRPr="00205244">
        <w:t xml:space="preserve"> </w:t>
      </w:r>
      <w:r>
        <w:t>εικονοστοιχεία</w:t>
      </w:r>
      <w:r w:rsidRPr="00205244">
        <w:t xml:space="preserve"> </w:t>
      </w:r>
      <w:r>
        <w:t>τόσο</w:t>
      </w:r>
      <w:r w:rsidRPr="00205244">
        <w:t xml:space="preserve"> </w:t>
      </w:r>
      <w:r>
        <w:t>υψηλότερη</w:t>
      </w:r>
      <w:r w:rsidRPr="00205244">
        <w:t xml:space="preserve"> </w:t>
      </w:r>
      <w:r>
        <w:t>η</w:t>
      </w:r>
      <w:r w:rsidRPr="00205244">
        <w:t xml:space="preserve"> </w:t>
      </w:r>
      <w:r>
        <w:t>χωρική</w:t>
      </w:r>
      <w:r w:rsidRPr="00205244">
        <w:t xml:space="preserve"> </w:t>
      </w:r>
      <w:r>
        <w:t>διακριτική</w:t>
      </w:r>
      <w:r w:rsidRPr="00205244">
        <w:t xml:space="preserve"> </w:t>
      </w:r>
      <w:r>
        <w:t>ικανότητα</w:t>
      </w:r>
      <w:r w:rsidRPr="00205244">
        <w:t xml:space="preserve"> </w:t>
      </w:r>
      <w:r>
        <w:t>της</w:t>
      </w:r>
      <w:r w:rsidRPr="00205244">
        <w:t xml:space="preserve"> </w:t>
      </w:r>
      <w:r>
        <w:t xml:space="preserve">εικόνας και ο θόρυβος. </w:t>
      </w:r>
    </w:p>
    <w:p w:rsidR="00FA4BF9" w:rsidRPr="00B8526E" w:rsidRDefault="00FA4BF9" w:rsidP="00FA4BF9">
      <w:pPr>
        <w:pStyle w:val="NoSpacing"/>
        <w:numPr>
          <w:ilvl w:val="0"/>
          <w:numId w:val="3"/>
        </w:numPr>
        <w:autoSpaceDE w:val="0"/>
        <w:autoSpaceDN w:val="0"/>
        <w:adjustRightInd w:val="0"/>
        <w:spacing w:before="120"/>
        <w:ind w:left="720"/>
        <w:jc w:val="both"/>
      </w:pPr>
      <w:r w:rsidRPr="006970BB">
        <w:rPr>
          <w:rFonts w:eastAsia="+mn-ea"/>
          <w:b/>
          <w:lang w:val="en-US"/>
        </w:rPr>
        <w:t>Bit</w:t>
      </w:r>
      <w:r w:rsidRPr="006970BB">
        <w:rPr>
          <w:b/>
        </w:rPr>
        <w:t xml:space="preserve"> </w:t>
      </w:r>
      <w:r>
        <w:t xml:space="preserve">– ο αριθμός των </w:t>
      </w:r>
      <w:r w:rsidRPr="006970BB">
        <w:rPr>
          <w:i/>
        </w:rPr>
        <w:t>μοναδικών αριθμητικών τιμών</w:t>
      </w:r>
      <w:r>
        <w:t xml:space="preserve"> (στη δική μας περίπτωση αριθμών που αντιπροσωπεύουν αποχρώσεις του γκρι) τις οποίες μπορούμε να αποθηκεύσουμε σε ένα </w:t>
      </w:r>
      <w:r>
        <w:rPr>
          <w:lang w:val="en-US"/>
        </w:rPr>
        <w:t>pixel</w:t>
      </w:r>
      <w:r w:rsidRPr="006970BB">
        <w:t xml:space="preserve">. </w:t>
      </w:r>
      <w:r>
        <w:t>Λαμβάνει τιμές 2</w:t>
      </w:r>
      <w:r w:rsidRPr="006970BB">
        <w:rPr>
          <w:vertAlign w:val="superscript"/>
        </w:rPr>
        <w:t>ν</w:t>
      </w:r>
      <w:r>
        <w:rPr>
          <w:rFonts w:ascii="Calibri" w:hAnsi="Calibri" w:cs="Calibri"/>
          <w:sz w:val="44"/>
          <w:szCs w:val="44"/>
          <w:bdr w:val="none" w:sz="0" w:space="0" w:color="auto"/>
        </w:rPr>
        <w:t xml:space="preserve"> </w:t>
      </w:r>
      <w:r w:rsidRPr="00B8526E">
        <w:t>όπου ν ο αριθμός των τιμών</w:t>
      </w:r>
    </w:p>
    <w:p w:rsidR="00FA4BF9" w:rsidRPr="00B8526E" w:rsidRDefault="00FA4BF9" w:rsidP="00FA4BF9">
      <w:pPr>
        <w:pStyle w:val="NoSpacing"/>
        <w:numPr>
          <w:ilvl w:val="1"/>
          <w:numId w:val="2"/>
        </w:numPr>
        <w:spacing w:before="120"/>
        <w:jc w:val="both"/>
        <w:rPr>
          <w:bdr w:val="none" w:sz="0" w:space="0" w:color="auto"/>
        </w:rPr>
      </w:pPr>
      <w:r w:rsidRPr="00B8526E">
        <w:rPr>
          <w:bdr w:val="none" w:sz="0" w:space="0" w:color="auto"/>
        </w:rPr>
        <w:lastRenderedPageBreak/>
        <w:t>2‐</w:t>
      </w:r>
      <w:r w:rsidRPr="00B8526E">
        <w:rPr>
          <w:bdr w:val="none" w:sz="0" w:space="0" w:color="auto"/>
          <w:lang w:val="en-US"/>
        </w:rPr>
        <w:t>Bit</w:t>
      </w:r>
      <w:r w:rsidRPr="00B8526E">
        <w:rPr>
          <w:bdr w:val="none" w:sz="0" w:space="0" w:color="auto"/>
        </w:rPr>
        <w:t xml:space="preserve">   </w:t>
      </w:r>
      <w:r>
        <w:rPr>
          <w:bdr w:val="none" w:sz="0" w:space="0" w:color="auto"/>
        </w:rPr>
        <w:t>όπου</w:t>
      </w:r>
      <w:r w:rsidRPr="00B8526E">
        <w:rPr>
          <w:bdr w:val="none" w:sz="0" w:space="0" w:color="auto"/>
        </w:rPr>
        <w:t xml:space="preserve"> 2</w:t>
      </w:r>
      <w:r w:rsidRPr="00B8526E">
        <w:rPr>
          <w:bdr w:val="none" w:sz="0" w:space="0" w:color="auto"/>
          <w:vertAlign w:val="superscript"/>
        </w:rPr>
        <w:t>ν</w:t>
      </w:r>
      <w:r w:rsidRPr="00B8526E">
        <w:rPr>
          <w:bdr w:val="none" w:sz="0" w:space="0" w:color="auto"/>
        </w:rPr>
        <w:t xml:space="preserve"> = 2</w:t>
      </w:r>
      <w:r w:rsidRPr="00B8526E">
        <w:rPr>
          <w:bdr w:val="none" w:sz="0" w:space="0" w:color="auto"/>
          <w:vertAlign w:val="superscript"/>
        </w:rPr>
        <w:t>2</w:t>
      </w:r>
      <w:r w:rsidRPr="00B8526E">
        <w:rPr>
          <w:bdr w:val="none" w:sz="0" w:space="0" w:color="auto"/>
        </w:rPr>
        <w:t xml:space="preserve">  = 4 [</w:t>
      </w:r>
      <w:r>
        <w:rPr>
          <w:bdr w:val="none" w:sz="0" w:space="0" w:color="auto"/>
        </w:rPr>
        <w:t>τμές από</w:t>
      </w:r>
      <w:r w:rsidRPr="00B8526E">
        <w:rPr>
          <w:bdr w:val="none" w:sz="0" w:space="0" w:color="auto"/>
        </w:rPr>
        <w:t xml:space="preserve"> 0 </w:t>
      </w:r>
      <w:r>
        <w:rPr>
          <w:bdr w:val="none" w:sz="0" w:space="0" w:color="auto"/>
        </w:rPr>
        <w:t>έως</w:t>
      </w:r>
      <w:r w:rsidRPr="00B8526E">
        <w:rPr>
          <w:rFonts w:eastAsia="Wingdings-Regular" w:cs="Wingdings-Regular"/>
          <w:bdr w:val="none" w:sz="0" w:space="0" w:color="auto"/>
        </w:rPr>
        <w:t xml:space="preserve"> </w:t>
      </w:r>
      <w:r w:rsidRPr="00B8526E">
        <w:rPr>
          <w:bdr w:val="none" w:sz="0" w:space="0" w:color="auto"/>
        </w:rPr>
        <w:t>3]</w:t>
      </w:r>
    </w:p>
    <w:p w:rsidR="00FA4BF9" w:rsidRPr="00B8526E" w:rsidRDefault="00FA4BF9" w:rsidP="00FA4BF9">
      <w:pPr>
        <w:pStyle w:val="NoSpacing"/>
        <w:numPr>
          <w:ilvl w:val="1"/>
          <w:numId w:val="2"/>
        </w:numPr>
        <w:spacing w:before="120"/>
        <w:jc w:val="both"/>
        <w:rPr>
          <w:bdr w:val="none" w:sz="0" w:space="0" w:color="auto"/>
          <w:lang w:val="en-US"/>
        </w:rPr>
      </w:pPr>
      <w:r w:rsidRPr="00B8526E">
        <w:rPr>
          <w:bdr w:val="none" w:sz="0" w:space="0" w:color="auto"/>
          <w:lang w:val="en-US"/>
        </w:rPr>
        <w:t>4‐Bit</w:t>
      </w:r>
      <w:r w:rsidRPr="00B8526E">
        <w:rPr>
          <w:bdr w:val="none" w:sz="0" w:space="0" w:color="auto"/>
        </w:rPr>
        <w:t xml:space="preserve"> </w:t>
      </w:r>
      <w:r>
        <w:rPr>
          <w:bdr w:val="none" w:sz="0" w:space="0" w:color="auto"/>
        </w:rPr>
        <w:t xml:space="preserve">  όπου</w:t>
      </w:r>
      <w:r w:rsidRPr="00B8526E">
        <w:rPr>
          <w:bdr w:val="none" w:sz="0" w:space="0" w:color="auto"/>
          <w:lang w:val="en-US"/>
        </w:rPr>
        <w:t xml:space="preserve"> 2</w:t>
      </w:r>
      <w:r w:rsidRPr="00B8526E">
        <w:rPr>
          <w:bdr w:val="none" w:sz="0" w:space="0" w:color="auto"/>
          <w:vertAlign w:val="superscript"/>
        </w:rPr>
        <w:t>ν</w:t>
      </w:r>
      <w:r w:rsidRPr="00B8526E">
        <w:rPr>
          <w:bdr w:val="none" w:sz="0" w:space="0" w:color="auto"/>
          <w:lang w:val="en-US"/>
        </w:rPr>
        <w:t xml:space="preserve"> = 2</w:t>
      </w:r>
      <w:r w:rsidRPr="00B8526E">
        <w:rPr>
          <w:bdr w:val="none" w:sz="0" w:space="0" w:color="auto"/>
          <w:vertAlign w:val="superscript"/>
          <w:lang w:val="en-US"/>
        </w:rPr>
        <w:t>4</w:t>
      </w:r>
      <w:r w:rsidRPr="00B8526E">
        <w:rPr>
          <w:bdr w:val="none" w:sz="0" w:space="0" w:color="auto"/>
          <w:lang w:val="en-US"/>
        </w:rPr>
        <w:t xml:space="preserve"> </w:t>
      </w:r>
      <w:r>
        <w:rPr>
          <w:bdr w:val="none" w:sz="0" w:space="0" w:color="auto"/>
        </w:rPr>
        <w:t xml:space="preserve"> </w:t>
      </w:r>
      <w:r w:rsidRPr="00B8526E">
        <w:rPr>
          <w:bdr w:val="none" w:sz="0" w:space="0" w:color="auto"/>
          <w:lang w:val="en-US"/>
        </w:rPr>
        <w:t xml:space="preserve">= 16 [0 </w:t>
      </w:r>
      <w:r>
        <w:rPr>
          <w:bdr w:val="none" w:sz="0" w:space="0" w:color="auto"/>
        </w:rPr>
        <w:t>έως</w:t>
      </w:r>
      <w:r w:rsidRPr="00B8526E">
        <w:rPr>
          <w:rFonts w:eastAsia="Wingdings-Regular" w:cs="Wingdings-Regular"/>
          <w:bdr w:val="none" w:sz="0" w:space="0" w:color="auto"/>
          <w:lang w:val="en-US"/>
        </w:rPr>
        <w:t xml:space="preserve"> </w:t>
      </w:r>
      <w:r w:rsidRPr="00B8526E">
        <w:rPr>
          <w:bdr w:val="none" w:sz="0" w:space="0" w:color="auto"/>
          <w:lang w:val="en-US"/>
        </w:rPr>
        <w:t>15]</w:t>
      </w:r>
    </w:p>
    <w:p w:rsidR="00FA4BF9" w:rsidRPr="00B8526E" w:rsidRDefault="00FA4BF9" w:rsidP="00FA4BF9">
      <w:pPr>
        <w:pStyle w:val="NoSpacing"/>
        <w:numPr>
          <w:ilvl w:val="1"/>
          <w:numId w:val="2"/>
        </w:numPr>
        <w:spacing w:before="120"/>
        <w:jc w:val="both"/>
        <w:rPr>
          <w:bdr w:val="none" w:sz="0" w:space="0" w:color="auto"/>
          <w:lang w:val="en-US"/>
        </w:rPr>
      </w:pPr>
      <w:r w:rsidRPr="00B8526E">
        <w:rPr>
          <w:bdr w:val="none" w:sz="0" w:space="0" w:color="auto"/>
          <w:lang w:val="en-US"/>
        </w:rPr>
        <w:t>8‐Bit</w:t>
      </w:r>
      <w:r w:rsidRPr="00B8526E">
        <w:rPr>
          <w:bdr w:val="none" w:sz="0" w:space="0" w:color="auto"/>
        </w:rPr>
        <w:t xml:space="preserve"> </w:t>
      </w:r>
      <w:r>
        <w:rPr>
          <w:bdr w:val="none" w:sz="0" w:space="0" w:color="auto"/>
        </w:rPr>
        <w:t xml:space="preserve">   όπου</w:t>
      </w:r>
      <w:r w:rsidRPr="00B8526E">
        <w:rPr>
          <w:bdr w:val="none" w:sz="0" w:space="0" w:color="auto"/>
          <w:lang w:val="en-US"/>
        </w:rPr>
        <w:t xml:space="preserve"> 2</w:t>
      </w:r>
      <w:r w:rsidRPr="00B8526E">
        <w:rPr>
          <w:bdr w:val="none" w:sz="0" w:space="0" w:color="auto"/>
          <w:vertAlign w:val="superscript"/>
        </w:rPr>
        <w:t>ν</w:t>
      </w:r>
      <w:r w:rsidRPr="00B8526E">
        <w:rPr>
          <w:bdr w:val="none" w:sz="0" w:space="0" w:color="auto"/>
          <w:lang w:val="en-US"/>
        </w:rPr>
        <w:t xml:space="preserve"> = 2</w:t>
      </w:r>
      <w:r w:rsidRPr="00B8526E">
        <w:rPr>
          <w:bdr w:val="none" w:sz="0" w:space="0" w:color="auto"/>
          <w:vertAlign w:val="superscript"/>
          <w:lang w:val="en-US"/>
        </w:rPr>
        <w:t>8</w:t>
      </w:r>
      <w:r w:rsidRPr="00B8526E">
        <w:rPr>
          <w:bdr w:val="none" w:sz="0" w:space="0" w:color="auto"/>
          <w:lang w:val="en-US"/>
        </w:rPr>
        <w:t xml:space="preserve"> </w:t>
      </w:r>
      <w:r>
        <w:rPr>
          <w:bdr w:val="none" w:sz="0" w:space="0" w:color="auto"/>
        </w:rPr>
        <w:t xml:space="preserve">  </w:t>
      </w:r>
      <w:r>
        <w:rPr>
          <w:bdr w:val="none" w:sz="0" w:space="0" w:color="auto"/>
          <w:lang w:val="en-US"/>
        </w:rPr>
        <w:t>= 256 [0</w:t>
      </w:r>
      <w:r>
        <w:rPr>
          <w:bdr w:val="none" w:sz="0" w:space="0" w:color="auto"/>
        </w:rPr>
        <w:t xml:space="preserve"> έως</w:t>
      </w:r>
      <w:r w:rsidRPr="00B8526E">
        <w:rPr>
          <w:rFonts w:eastAsia="Wingdings-Regular" w:cs="Wingdings-Regular"/>
          <w:bdr w:val="none" w:sz="0" w:space="0" w:color="auto"/>
          <w:lang w:val="en-US"/>
        </w:rPr>
        <w:t xml:space="preserve"> </w:t>
      </w:r>
      <w:r w:rsidRPr="00B8526E">
        <w:rPr>
          <w:bdr w:val="none" w:sz="0" w:space="0" w:color="auto"/>
          <w:lang w:val="en-US"/>
        </w:rPr>
        <w:t>255]</w:t>
      </w:r>
    </w:p>
    <w:p w:rsidR="00FA4BF9" w:rsidRPr="00B8526E" w:rsidRDefault="00FA4BF9" w:rsidP="00FA4BF9">
      <w:pPr>
        <w:pStyle w:val="NoSpacing"/>
        <w:numPr>
          <w:ilvl w:val="1"/>
          <w:numId w:val="2"/>
        </w:numPr>
        <w:spacing w:before="120"/>
        <w:jc w:val="both"/>
        <w:rPr>
          <w:bdr w:val="none" w:sz="0" w:space="0" w:color="auto"/>
        </w:rPr>
      </w:pPr>
      <w:r w:rsidRPr="00B8526E">
        <w:rPr>
          <w:bdr w:val="none" w:sz="0" w:space="0" w:color="auto"/>
        </w:rPr>
        <w:t>12‐</w:t>
      </w:r>
      <w:r w:rsidRPr="00B8526E">
        <w:rPr>
          <w:bdr w:val="none" w:sz="0" w:space="0" w:color="auto"/>
          <w:lang w:val="en-US"/>
        </w:rPr>
        <w:t>Bit</w:t>
      </w:r>
      <w:r>
        <w:rPr>
          <w:bdr w:val="none" w:sz="0" w:space="0" w:color="auto"/>
        </w:rPr>
        <w:t xml:space="preserve"> </w:t>
      </w:r>
      <w:r w:rsidRPr="00B8526E">
        <w:rPr>
          <w:bdr w:val="none" w:sz="0" w:space="0" w:color="auto"/>
        </w:rPr>
        <w:t xml:space="preserve"> </w:t>
      </w:r>
      <w:r>
        <w:rPr>
          <w:bdr w:val="none" w:sz="0" w:space="0" w:color="auto"/>
        </w:rPr>
        <w:t>όπου</w:t>
      </w:r>
      <w:r w:rsidRPr="00B8526E">
        <w:rPr>
          <w:bdr w:val="none" w:sz="0" w:space="0" w:color="auto"/>
        </w:rPr>
        <w:t xml:space="preserve"> 2</w:t>
      </w:r>
      <w:r w:rsidRPr="00B8526E">
        <w:rPr>
          <w:bdr w:val="none" w:sz="0" w:space="0" w:color="auto"/>
          <w:vertAlign w:val="superscript"/>
        </w:rPr>
        <w:t>ν</w:t>
      </w:r>
      <w:r w:rsidRPr="00B8526E">
        <w:rPr>
          <w:bdr w:val="none" w:sz="0" w:space="0" w:color="auto"/>
        </w:rPr>
        <w:t xml:space="preserve"> = 2</w:t>
      </w:r>
      <w:r w:rsidRPr="00B8526E">
        <w:rPr>
          <w:bdr w:val="none" w:sz="0" w:space="0" w:color="auto"/>
          <w:vertAlign w:val="superscript"/>
        </w:rPr>
        <w:t>12</w:t>
      </w:r>
      <w:r w:rsidRPr="00B8526E">
        <w:rPr>
          <w:bdr w:val="none" w:sz="0" w:space="0" w:color="auto"/>
        </w:rPr>
        <w:t xml:space="preserve"> = 4096 [0 </w:t>
      </w:r>
      <w:r>
        <w:rPr>
          <w:bdr w:val="none" w:sz="0" w:space="0" w:color="auto"/>
        </w:rPr>
        <w:t>έως</w:t>
      </w:r>
      <w:r w:rsidRPr="00B8526E">
        <w:rPr>
          <w:rFonts w:eastAsia="Wingdings-Regular" w:cs="Wingdings-Regular"/>
          <w:bdr w:val="none" w:sz="0" w:space="0" w:color="auto"/>
        </w:rPr>
        <w:t xml:space="preserve"> </w:t>
      </w:r>
      <w:r w:rsidRPr="00B8526E">
        <w:rPr>
          <w:bdr w:val="none" w:sz="0" w:space="0" w:color="auto"/>
        </w:rPr>
        <w:t>4095] (</w:t>
      </w:r>
      <w:r>
        <w:rPr>
          <w:bdr w:val="none" w:sz="0" w:space="0" w:color="auto"/>
        </w:rPr>
        <w:t>Υπολογιστική Τομογραφία</w:t>
      </w:r>
      <w:r w:rsidRPr="00B8526E">
        <w:rPr>
          <w:bdr w:val="none" w:sz="0" w:space="0" w:color="auto"/>
        </w:rPr>
        <w:t>)</w:t>
      </w:r>
    </w:p>
    <w:p w:rsidR="00FA4BF9" w:rsidRPr="00B8526E" w:rsidRDefault="00FA4BF9" w:rsidP="00FA4BF9">
      <w:pPr>
        <w:pStyle w:val="NoSpacing"/>
        <w:numPr>
          <w:ilvl w:val="1"/>
          <w:numId w:val="2"/>
        </w:numPr>
        <w:spacing w:before="120"/>
        <w:jc w:val="both"/>
        <w:rPr>
          <w:bdr w:val="none" w:sz="0" w:space="0" w:color="auto"/>
        </w:rPr>
      </w:pPr>
      <w:r w:rsidRPr="00B8526E">
        <w:rPr>
          <w:bdr w:val="none" w:sz="0" w:space="0" w:color="auto"/>
        </w:rPr>
        <w:t>16‐</w:t>
      </w:r>
      <w:r w:rsidRPr="00B8526E">
        <w:rPr>
          <w:bdr w:val="none" w:sz="0" w:space="0" w:color="auto"/>
          <w:lang w:val="en-US"/>
        </w:rPr>
        <w:t>Bit</w:t>
      </w:r>
      <w:r w:rsidRPr="00B8526E">
        <w:rPr>
          <w:bdr w:val="none" w:sz="0" w:space="0" w:color="auto"/>
        </w:rPr>
        <w:t xml:space="preserve"> </w:t>
      </w:r>
      <w:r>
        <w:rPr>
          <w:bdr w:val="none" w:sz="0" w:space="0" w:color="auto"/>
        </w:rPr>
        <w:t xml:space="preserve"> όπου</w:t>
      </w:r>
      <w:r w:rsidRPr="00B8526E">
        <w:rPr>
          <w:bdr w:val="none" w:sz="0" w:space="0" w:color="auto"/>
        </w:rPr>
        <w:t xml:space="preserve"> 2</w:t>
      </w:r>
      <w:r w:rsidRPr="00B8526E">
        <w:rPr>
          <w:bdr w:val="none" w:sz="0" w:space="0" w:color="auto"/>
          <w:vertAlign w:val="superscript"/>
        </w:rPr>
        <w:t>ν</w:t>
      </w:r>
      <w:r w:rsidRPr="00B8526E">
        <w:rPr>
          <w:bdr w:val="none" w:sz="0" w:space="0" w:color="auto"/>
        </w:rPr>
        <w:t xml:space="preserve"> = 2</w:t>
      </w:r>
      <w:r w:rsidRPr="00B8526E">
        <w:rPr>
          <w:bdr w:val="none" w:sz="0" w:space="0" w:color="auto"/>
          <w:vertAlign w:val="superscript"/>
        </w:rPr>
        <w:t xml:space="preserve">16 </w:t>
      </w:r>
      <w:r>
        <w:rPr>
          <w:bdr w:val="none" w:sz="0" w:space="0" w:color="auto"/>
          <w:vertAlign w:val="superscript"/>
        </w:rPr>
        <w:t xml:space="preserve"> </w:t>
      </w:r>
      <w:r w:rsidRPr="00B8526E">
        <w:rPr>
          <w:bdr w:val="none" w:sz="0" w:space="0" w:color="auto"/>
        </w:rPr>
        <w:t xml:space="preserve">= 65536 [0 </w:t>
      </w:r>
      <w:r>
        <w:rPr>
          <w:bdr w:val="none" w:sz="0" w:space="0" w:color="auto"/>
        </w:rPr>
        <w:t>έως</w:t>
      </w:r>
      <w:r w:rsidRPr="00B8526E">
        <w:rPr>
          <w:rFonts w:eastAsia="Wingdings-Regular" w:cs="Wingdings-Regular"/>
          <w:bdr w:val="none" w:sz="0" w:space="0" w:color="auto"/>
        </w:rPr>
        <w:t xml:space="preserve"> </w:t>
      </w:r>
      <w:r w:rsidRPr="00B8526E">
        <w:rPr>
          <w:bdr w:val="none" w:sz="0" w:space="0" w:color="auto"/>
        </w:rPr>
        <w:t>65535] (</w:t>
      </w:r>
      <w:r>
        <w:rPr>
          <w:bdr w:val="none" w:sz="0" w:space="0" w:color="auto"/>
        </w:rPr>
        <w:t>Ψηφική Ακτινογραφία</w:t>
      </w:r>
      <w:r w:rsidRPr="00B8526E">
        <w:rPr>
          <w:bdr w:val="none" w:sz="0" w:space="0" w:color="auto"/>
        </w:rPr>
        <w:t>)</w:t>
      </w:r>
    </w:p>
    <w:p w:rsidR="00FA4BF9" w:rsidRDefault="00FA4BF9" w:rsidP="00FA4BF9">
      <w:pPr>
        <w:pStyle w:val="NoSpacing"/>
        <w:spacing w:before="120"/>
      </w:pPr>
    </w:p>
    <w:p w:rsidR="00FA4BF9" w:rsidRDefault="00FA4BF9" w:rsidP="00FA4BF9">
      <w:pPr>
        <w:pStyle w:val="NoSpacing"/>
        <w:spacing w:before="120"/>
        <w:ind w:left="360"/>
      </w:pPr>
      <w:r w:rsidRPr="00B8526E">
        <w:t xml:space="preserve"> </w:t>
      </w:r>
      <w:r w:rsidRPr="007617ED">
        <w:rPr>
          <w:b/>
          <w:bCs/>
        </w:rPr>
        <w:t xml:space="preserve"> </w:t>
      </w:r>
      <w:r>
        <w:rPr>
          <w:noProof/>
          <w:lang w:val="en-US"/>
        </w:rPr>
        <w:drawing>
          <wp:inline distT="0" distB="0" distL="0" distR="0">
            <wp:extent cx="2457450" cy="1140474"/>
            <wp:effectExtent l="19050" t="19050" r="19050" b="21576"/>
            <wp:docPr id="50" name="irc_mi" descr="http://carestreamdentalblogdotcom1.files.wordpress.com/2014/02/pixel-vo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estreamdentalblogdotcom1.files.wordpress.com/2014/02/pixel-voxel.jpg"/>
                    <pic:cNvPicPr>
                      <a:picLocks noChangeAspect="1" noChangeArrowheads="1"/>
                    </pic:cNvPicPr>
                  </pic:nvPicPr>
                  <pic:blipFill>
                    <a:blip r:embed="rId5" cstate="print"/>
                    <a:srcRect/>
                    <a:stretch>
                      <a:fillRect/>
                    </a:stretch>
                  </pic:blipFill>
                  <pic:spPr bwMode="auto">
                    <a:xfrm>
                      <a:off x="0" y="0"/>
                      <a:ext cx="2457450" cy="1140474"/>
                    </a:xfrm>
                    <a:prstGeom prst="rect">
                      <a:avLst/>
                    </a:prstGeom>
                    <a:noFill/>
                    <a:ln w="9525">
                      <a:solidFill>
                        <a:schemeClr val="accent1"/>
                      </a:solidFill>
                      <a:miter lim="800000"/>
                      <a:headEnd/>
                      <a:tailEnd/>
                    </a:ln>
                  </pic:spPr>
                </pic:pic>
              </a:graphicData>
            </a:graphic>
          </wp:inline>
        </w:drawing>
      </w:r>
      <w:r w:rsidRPr="00205244">
        <w:t xml:space="preserve"> </w:t>
      </w:r>
    </w:p>
    <w:p w:rsidR="00FA4BF9" w:rsidRDefault="00FA4BF9" w:rsidP="00FA4BF9">
      <w:pPr>
        <w:pStyle w:val="NoSpacing"/>
        <w:spacing w:before="120"/>
      </w:pPr>
    </w:p>
    <w:p w:rsidR="00FA4BF9" w:rsidRDefault="00FA4BF9" w:rsidP="00FA4BF9">
      <w:pPr>
        <w:pStyle w:val="NoSpacing"/>
        <w:tabs>
          <w:tab w:val="left" w:pos="540"/>
        </w:tabs>
        <w:spacing w:before="120"/>
        <w:ind w:left="540"/>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04.5pt;margin-top:8.5pt;width:245.5pt;height:128.8pt;z-index:251660288;mso-height-percent:200;mso-height-percent:200;mso-width-relative:margin;mso-height-relative:margin" strokecolor="#00b0f0">
            <v:textbox style="mso-fit-shape-to-text:t">
              <w:txbxContent>
                <w:p w:rsidR="00FA4BF9" w:rsidRPr="00E53231" w:rsidRDefault="00FA4BF9" w:rsidP="00FA4BF9">
                  <w:pPr>
                    <w:pStyle w:val="NoSpacing"/>
                    <w:numPr>
                      <w:ilvl w:val="0"/>
                      <w:numId w:val="4"/>
                    </w:numPr>
                    <w:ind w:left="450" w:hanging="270"/>
                  </w:pPr>
                  <w:r>
                    <w:t xml:space="preserve">Η μήτρα αποτελείται από </w:t>
                  </w:r>
                  <w:r>
                    <w:rPr>
                      <w:lang w:val="en-US"/>
                    </w:rPr>
                    <w:t>pixels</w:t>
                  </w:r>
                  <w:r w:rsidRPr="00BD5773">
                    <w:t xml:space="preserve"> </w:t>
                  </w:r>
                  <w:r>
                    <w:t xml:space="preserve">διαταγμένα σε στήλες και σειρές </w:t>
                  </w:r>
                </w:p>
                <w:p w:rsidR="00FA4BF9" w:rsidRDefault="00FA4BF9" w:rsidP="00FA4BF9">
                  <w:pPr>
                    <w:pStyle w:val="NoSpacing"/>
                    <w:numPr>
                      <w:ilvl w:val="0"/>
                      <w:numId w:val="4"/>
                    </w:numPr>
                    <w:ind w:left="450" w:hanging="270"/>
                  </w:pPr>
                  <w:r>
                    <w:t xml:space="preserve">Σε κάθε </w:t>
                  </w:r>
                  <w:r>
                    <w:rPr>
                      <w:lang w:val="en-US"/>
                    </w:rPr>
                    <w:t>pixel</w:t>
                  </w:r>
                  <w:r w:rsidRPr="00BD5773">
                    <w:t xml:space="preserve"> </w:t>
                  </w:r>
                  <w:r>
                    <w:t>ανάλογα με τις πληροφορίες που καταγράφει ο λειτουργικός εξοπλισμός εισόδου του Η/Υ του μηχανήματος αποδίδεται μια αριθμητική τιμή.</w:t>
                  </w:r>
                </w:p>
                <w:p w:rsidR="00FA4BF9" w:rsidRPr="009F1695" w:rsidRDefault="00FA4BF9" w:rsidP="00FA4BF9">
                  <w:pPr>
                    <w:pStyle w:val="NoSpacing"/>
                    <w:numPr>
                      <w:ilvl w:val="0"/>
                      <w:numId w:val="4"/>
                    </w:numPr>
                    <w:ind w:left="450" w:hanging="270"/>
                  </w:pPr>
                  <w:r>
                    <w:t>Η αριθμητική τιμή μετατρέπεται από τον λειτουργικό εξοπλισμό εξόδου του Η/Υ σε αποχρώσεις του γκρι</w:t>
                  </w:r>
                </w:p>
              </w:txbxContent>
            </v:textbox>
          </v:shape>
        </w:pict>
      </w:r>
      <w:r>
        <w:rPr>
          <w:noProof/>
          <w:lang w:val="en-US"/>
        </w:rPr>
        <w:drawing>
          <wp:inline distT="0" distB="0" distL="0" distR="0">
            <wp:extent cx="2114550" cy="1657350"/>
            <wp:effectExtent l="19050" t="19050" r="19050" b="19050"/>
            <wp:docPr id="51" name="Picture 5" descr="http://blog.kleinproject.org/wp-content/uploads/2012/04/sample-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kleinproject.org/wp-content/uploads/2012/04/sample-matrix.gif"/>
                    <pic:cNvPicPr>
                      <a:picLocks noChangeAspect="1" noChangeArrowheads="1"/>
                    </pic:cNvPicPr>
                  </pic:nvPicPr>
                  <pic:blipFill>
                    <a:blip r:embed="rId6" cstate="print"/>
                    <a:srcRect r="50224"/>
                    <a:stretch>
                      <a:fillRect/>
                    </a:stretch>
                  </pic:blipFill>
                  <pic:spPr bwMode="auto">
                    <a:xfrm>
                      <a:off x="0" y="0"/>
                      <a:ext cx="2114550" cy="1657350"/>
                    </a:xfrm>
                    <a:prstGeom prst="rect">
                      <a:avLst/>
                    </a:prstGeom>
                    <a:noFill/>
                    <a:ln w="9525">
                      <a:solidFill>
                        <a:schemeClr val="accent1"/>
                      </a:solidFill>
                      <a:miter lim="800000"/>
                      <a:headEnd/>
                      <a:tailEnd/>
                    </a:ln>
                  </pic:spPr>
                </pic:pic>
              </a:graphicData>
            </a:graphic>
          </wp:inline>
        </w:drawing>
      </w:r>
      <w:r w:rsidRPr="00205244">
        <w:t xml:space="preserve"> </w:t>
      </w:r>
      <w:r>
        <w:t xml:space="preserve"> </w:t>
      </w:r>
    </w:p>
    <w:p w:rsidR="00FA4BF9" w:rsidRDefault="00FA4BF9" w:rsidP="00FA4BF9">
      <w:pPr>
        <w:pStyle w:val="NoSpacing"/>
        <w:tabs>
          <w:tab w:val="left" w:pos="540"/>
        </w:tabs>
        <w:spacing w:before="120"/>
        <w:ind w:left="540"/>
      </w:pPr>
    </w:p>
    <w:p w:rsidR="00FA4BF9" w:rsidRDefault="00FA4BF9" w:rsidP="00FA4BF9">
      <w:pPr>
        <w:pStyle w:val="NoSpacing"/>
        <w:tabs>
          <w:tab w:val="left" w:pos="0"/>
        </w:tabs>
        <w:spacing w:before="120"/>
      </w:pPr>
      <w:r>
        <w:rPr>
          <w:noProof/>
          <w:lang w:val="en-US"/>
        </w:rPr>
        <w:drawing>
          <wp:inline distT="0" distB="0" distL="0" distR="0">
            <wp:extent cx="6210300" cy="1662828"/>
            <wp:effectExtent l="19050" t="0" r="0" b="0"/>
            <wp:docPr id="52" name="Picture 8" descr="http://blog.kleinproject.org/wp-content/uploads/2012/04/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kleinproject.org/wp-content/uploads/2012/04/klein.png"/>
                    <pic:cNvPicPr>
                      <a:picLocks noChangeAspect="1" noChangeArrowheads="1"/>
                    </pic:cNvPicPr>
                  </pic:nvPicPr>
                  <pic:blipFill>
                    <a:blip r:embed="rId7" cstate="print"/>
                    <a:srcRect/>
                    <a:stretch>
                      <a:fillRect/>
                    </a:stretch>
                  </pic:blipFill>
                  <pic:spPr bwMode="auto">
                    <a:xfrm>
                      <a:off x="0" y="0"/>
                      <a:ext cx="6210300" cy="1662828"/>
                    </a:xfrm>
                    <a:prstGeom prst="rect">
                      <a:avLst/>
                    </a:prstGeom>
                    <a:noFill/>
                    <a:ln w="9525">
                      <a:noFill/>
                      <a:miter lim="800000"/>
                      <a:headEnd/>
                      <a:tailEnd/>
                    </a:ln>
                  </pic:spPr>
                </pic:pic>
              </a:graphicData>
            </a:graphic>
          </wp:inline>
        </w:drawing>
      </w:r>
      <w:r w:rsidRPr="00205244">
        <w:t xml:space="preserve"> </w:t>
      </w:r>
    </w:p>
    <w:p w:rsidR="00482B5E" w:rsidRPr="008E76A7" w:rsidRDefault="00FA4BF9" w:rsidP="00482B5E">
      <w:pPr>
        <w:pStyle w:val="NoSpacing"/>
        <w:tabs>
          <w:tab w:val="left" w:pos="0"/>
        </w:tabs>
        <w:spacing w:before="120"/>
      </w:pPr>
      <w:r>
        <w:t>Όσο μεγαλύτερη η μήτρα τόσο υψηλότερη η χωρική διακριτική ικανότητα και ο θόρυβος. Προσέξτε τον κόκκο στην δεξιά εικόνα.</w:t>
      </w:r>
      <w:r w:rsidRPr="00BD5773">
        <w:t xml:space="preserve"> </w:t>
      </w:r>
      <w:r>
        <w:t xml:space="preserve">Η φωτογραφία είναι του μαθηματικού </w:t>
      </w:r>
      <w:r>
        <w:rPr>
          <w:lang w:val="en-US"/>
        </w:rPr>
        <w:t>Felix</w:t>
      </w:r>
      <w:r w:rsidRPr="005C4E4E">
        <w:t xml:space="preserve"> </w:t>
      </w:r>
      <w:r>
        <w:rPr>
          <w:lang w:val="en-US"/>
        </w:rPr>
        <w:t>Klein</w:t>
      </w:r>
      <w:r w:rsidRPr="005C4E4E">
        <w:t xml:space="preserve"> </w:t>
      </w:r>
      <w:r>
        <w:t>(1849-1925, ιστορικού των μαθηματικών.</w:t>
      </w:r>
      <w:r w:rsidRPr="00205244">
        <w:br w:type="page"/>
      </w:r>
      <w:r w:rsidR="00482B5E" w:rsidRPr="00BD5773">
        <w:rPr>
          <w:rStyle w:val="Heading1Char"/>
        </w:rPr>
        <w:lastRenderedPageBreak/>
        <w:t>ΨΗΦΙΑΚΗ ΑΠΕΙΚΟΝΙΣΗ</w:t>
      </w:r>
    </w:p>
    <w:p w:rsidR="00482B5E" w:rsidRDefault="00482B5E" w:rsidP="00482B5E">
      <w:pPr>
        <w:pStyle w:val="NoSpacing"/>
        <w:spacing w:before="120"/>
        <w:jc w:val="both"/>
      </w:pPr>
      <w:r>
        <w:t xml:space="preserve">Τα τελευταία χρόνια υπάρχει ταχεία πρόοδος στη χρήση ψηφιακών συστημάτων απεικόνισης. Κάποιες απεικονιστικές μέθοδοι από την αρχή τους ήταν ψηφιακές (υπολογιστική τομογραφία, μαγνητική τομογραφία και υπερηχογραφία).  </w:t>
      </w:r>
    </w:p>
    <w:p w:rsidR="00482B5E" w:rsidRDefault="00482B5E" w:rsidP="00482B5E">
      <w:pPr>
        <w:pStyle w:val="NoSpacing"/>
        <w:spacing w:before="120"/>
        <w:jc w:val="both"/>
      </w:pPr>
      <w:r>
        <w:t xml:space="preserve">Τώρα πλέον και η λήψη απλών ακτινογραφιών και η ακτινοσκόπηση μπορούν να γίνουν με ψηφιακά συστήματα. </w:t>
      </w:r>
    </w:p>
    <w:p w:rsidR="00482B5E" w:rsidRDefault="00482B5E" w:rsidP="00482B5E">
      <w:pPr>
        <w:pStyle w:val="NoSpacing"/>
        <w:spacing w:before="120"/>
        <w:jc w:val="both"/>
      </w:pPr>
      <w:r>
        <w:t xml:space="preserve">Η διαδικασία της λήψης ακτινογρφαιών με ψηφιακά συστήματα διαφέρει από τη διαδικασία λήψης με σύστημα ΕΠ-Φιλμ στον τρόπο καταγραφής, αποθήκευσης, ανάγνωσης και επεξεργασίας των εικόνων. Οι παραπάνω διαδικασίες που πριν ήταν ενωμένες και άνω σε ένα ακτινολογικό φιλμ και μόνον, τώρα είναι ανεξάρτητες μεταξύ τους και επιτρέπου μεγάλη ευελιξία στη διαχείριση της εικόνας. Έτσι μπορούμε με επεξεργασία να μεταβάλλουμε τα χαρακτηριστικά της εικόνας (ΣΑ, ΟΠ), να μετρήσουμε, να αποθηκεύσουμε και να μεταφέρουμε την εικόνα εύκολα και πολλαπλές φορές αφου μένει μόνιμα αποθηκευμένη στο υπολογιστικό σύστημα του τμήματος. Προφανώς οι δυνατότητες αυτές είναι πρόκληση για την ασφαλή μεταφορά ιατρικών εικόνων στο διαδίκτυο, πρέπει να έχουν συγκεκριμένη ηλεκτρονική μορφή και απαιτούν μεγάλες αποθηκευτικές δυνατότητες λόγω της πλθώρας των πλροφοριών που μεταφέρουν. </w:t>
      </w:r>
    </w:p>
    <w:p w:rsidR="00482B5E" w:rsidRDefault="00482B5E" w:rsidP="00482B5E">
      <w:pPr>
        <w:pStyle w:val="NoSpacing"/>
        <w:spacing w:before="120"/>
        <w:jc w:val="both"/>
      </w:pPr>
      <w:r>
        <w:t>Λεπτομέρειες για τις παρακάτω εξελίξεις θα συζητηθούν σε άλλα μαθήματα του κύκλου σπουδών.</w:t>
      </w:r>
    </w:p>
    <w:p w:rsidR="00482B5E" w:rsidRDefault="00482B5E" w:rsidP="00482B5E">
      <w:pPr>
        <w:pStyle w:val="NoSpacing"/>
        <w:spacing w:before="120"/>
        <w:jc w:val="both"/>
      </w:pPr>
      <w:r>
        <w:t xml:space="preserve">Η παλαιότερη μορφή ψηφιακής ακτινογραφίας είναι η Υπολογιστική Ακτινογραφία (ΥΑ, </w:t>
      </w:r>
      <w:r>
        <w:rPr>
          <w:lang w:val="en-US"/>
        </w:rPr>
        <w:t>CR</w:t>
      </w:r>
      <w:r w:rsidRPr="00597D1A">
        <w:t xml:space="preserve"> </w:t>
      </w:r>
      <w:r>
        <w:rPr>
          <w:lang w:val="en-US"/>
        </w:rPr>
        <w:t>computed</w:t>
      </w:r>
      <w:r w:rsidRPr="00597D1A">
        <w:t xml:space="preserve"> </w:t>
      </w:r>
      <w:r>
        <w:rPr>
          <w:lang w:val="en-US"/>
        </w:rPr>
        <w:t>Radiography</w:t>
      </w:r>
      <w:r w:rsidRPr="00597D1A">
        <w:t>)</w:t>
      </w:r>
      <w:r>
        <w:t xml:space="preserve">. Ως διαδικασία έχει διάφορα κοινά με την ΕΠ-φιλμ ακτινογραφία. Χρησιμοποιεί σαν ανιχνευτή ευαίσθητη στην ακτινοβολία–Χ πινακίδα που είναι κλεισμένη σε ειδική κασέττα. Η κασέτα μπορεί να χρησιμοποιηθεί σε οποιοδήποτε ακτινολογικό μηχάνημα. Και τα δύο συστήμα καταγράφουν λανθάνουσα εικόνα, σε διαφορετική βέβαια μορφή το καθένα, που γίνεται ορατή μέσω επεξεργασίας. </w:t>
      </w:r>
    </w:p>
    <w:p w:rsidR="00482B5E" w:rsidRDefault="00482B5E" w:rsidP="00482B5E">
      <w:pPr>
        <w:pStyle w:val="NoSpacing"/>
        <w:spacing w:before="120"/>
        <w:jc w:val="both"/>
      </w:pPr>
      <w:r>
        <w:t xml:space="preserve">Κάπου εδω οι ομοιότητες σταματούν. Στην ΕΠ ο κρύσταλλος εκπέμπει φως ως αποτέλεσμα της αλληλεπίδρασης με τα φωτόνια –Χ. Στην ΥΑ η ειδική πινακίδα εκπέμπει μικρή ποσότητα φωτός από την αλληλεπίδραση με τα φωτόνια –Χ, αλλά σε μεγαλύτερο ποσοστό παγιδεύονται ηλεκτρόνια της σε ενδιάμεση ασταθή ενεργειακά κατάσταση στην οποία μπορούν να παραμείνουν για μικρό χρονικό διάστημα. Η έκταση στην οποία συμβαίνει η παγίδευση των ηλεκτρονίων είναι ανάλογη της έντασης της ακτινοβολίας που δέχθηκαν οι κρύσταλλοι. Αυτά τα παγιδευμένα ηλεκτρόνια που αποτελούν την λανθάνουσα εικόνα τείνουν να λιγοστεύουν με το χρόνο, οπότε η πινακίδα ΥΑ πρέπει να «διαβάζεται» σύντομα μετά την ακτινολογική έκθεση (σε 8 ώρες περίπου αποκαθίσταται το 25% των ηλεκτρονίων). </w:t>
      </w:r>
    </w:p>
    <w:p w:rsidR="00482B5E" w:rsidRDefault="00482B5E" w:rsidP="00482B5E">
      <w:pPr>
        <w:pStyle w:val="NoSpacing"/>
        <w:spacing w:before="120"/>
        <w:jc w:val="both"/>
      </w:pPr>
      <w:r>
        <w:t xml:space="preserve">Το ενεργό συστατικό της ΥΑ πινακίδας είναι ουσίες όπως βαριούχα φθοριοαλογονίδια ενεργοποιημένα με Ευρώπιο </w:t>
      </w:r>
      <w:r w:rsidRPr="00C757ED">
        <w:t>(</w:t>
      </w:r>
      <w:proofErr w:type="spellStart"/>
      <w:r>
        <w:rPr>
          <w:lang w:val="en-US"/>
        </w:rPr>
        <w:t>BaFBr</w:t>
      </w:r>
      <w:proofErr w:type="spellEnd"/>
      <w:r w:rsidRPr="00C757ED">
        <w:t>:</w:t>
      </w:r>
      <w:proofErr w:type="spellStart"/>
      <w:r>
        <w:rPr>
          <w:lang w:val="en-US"/>
        </w:rPr>
        <w:t>Eu</w:t>
      </w:r>
      <w:proofErr w:type="spellEnd"/>
      <w:r w:rsidRPr="00C757ED">
        <w:t xml:space="preserve"> </w:t>
      </w:r>
      <w:r>
        <w:t xml:space="preserve">ή </w:t>
      </w:r>
      <w:proofErr w:type="spellStart"/>
      <w:r>
        <w:rPr>
          <w:lang w:val="en-US"/>
        </w:rPr>
        <w:t>BaFI</w:t>
      </w:r>
      <w:proofErr w:type="spellEnd"/>
      <w:r w:rsidRPr="00C757ED">
        <w:t>:</w:t>
      </w:r>
      <w:proofErr w:type="spellStart"/>
      <w:r>
        <w:rPr>
          <w:lang w:val="en-US"/>
        </w:rPr>
        <w:t>Eu</w:t>
      </w:r>
      <w:proofErr w:type="spellEnd"/>
      <w:r w:rsidRPr="00C757ED">
        <w:t>)</w:t>
      </w:r>
      <w:r>
        <w:t xml:space="preserve"> που εκπέμπουν φως όταν εκτεθούν σε φωτόνια –Χ. Εκπέμπουν όμως φως και αργότερα όταν εκτεθούν σε δέσμη φωτός </w:t>
      </w:r>
      <w:r>
        <w:rPr>
          <w:lang w:val="en-US"/>
        </w:rPr>
        <w:t>laser</w:t>
      </w:r>
      <w:r>
        <w:t>. Αυτή η συμπεριφορά ονομάζεται φωταύγεια από φωτοδιέγερση (</w:t>
      </w:r>
      <w:proofErr w:type="spellStart"/>
      <w:r>
        <w:rPr>
          <w:lang w:val="en-US"/>
        </w:rPr>
        <w:t>photostimulable</w:t>
      </w:r>
      <w:proofErr w:type="spellEnd"/>
      <w:r w:rsidRPr="005964A6">
        <w:t xml:space="preserve"> </w:t>
      </w:r>
      <w:r>
        <w:rPr>
          <w:lang w:val="en-US"/>
        </w:rPr>
        <w:t>luminescence</w:t>
      </w:r>
      <w:r w:rsidRPr="005964A6">
        <w:t xml:space="preserve">, </w:t>
      </w:r>
      <w:r>
        <w:rPr>
          <w:lang w:val="en-US"/>
        </w:rPr>
        <w:t>PSL</w:t>
      </w:r>
      <w:r w:rsidRPr="005964A6">
        <w:t>)</w:t>
      </w:r>
      <w:r>
        <w:t xml:space="preserve"> και χρησιμοποιείται στη Υπολογιστική Ακτινογραφία για να ¨διαβάσει¨ και να κάνει ορατή τη λανθάνουσα εικόνα που είναι αποθηκευμένη στην ΥΑ πινακίδα μετά την έκθεση. </w:t>
      </w:r>
    </w:p>
    <w:p w:rsidR="00482B5E" w:rsidRDefault="00482B5E" w:rsidP="00482B5E">
      <w:pPr>
        <w:pStyle w:val="NoSpacing"/>
        <w:spacing w:before="120"/>
        <w:jc w:val="both"/>
      </w:pPr>
      <w:r>
        <w:t>Στην ΥΑ δεν απαιτείται σκοτεινός θάλαμος.</w:t>
      </w:r>
    </w:p>
    <w:p w:rsidR="00482B5E" w:rsidRDefault="00482B5E" w:rsidP="00482B5E">
      <w:pPr>
        <w:pStyle w:val="NoSpacing"/>
        <w:spacing w:before="120"/>
        <w:jc w:val="both"/>
      </w:pPr>
      <w:r>
        <w:t xml:space="preserve">Η κασέτα της ΥΑ μετά την έκθεσή της στην ακτινοβολία-Χ εισάγεται σε μηχάνημα </w:t>
      </w:r>
      <w:r w:rsidRPr="008E6933">
        <w:t>(</w:t>
      </w:r>
      <w:r>
        <w:rPr>
          <w:lang w:val="en-US"/>
        </w:rPr>
        <w:t>reader</w:t>
      </w:r>
      <w:r w:rsidRPr="008E6933">
        <w:t>)</w:t>
      </w:r>
      <w:r>
        <w:t xml:space="preserve"> συνδεδεμένο με Η/Υ στο οποίο γίνεται η ανάγνωση. Η φωτοδιέγερση γίνεται με σάρωση της ΥΑ πινακίδας από δέσμη </w:t>
      </w:r>
      <w:r>
        <w:rPr>
          <w:lang w:val="en-US"/>
        </w:rPr>
        <w:t>laser</w:t>
      </w:r>
      <w:r w:rsidRPr="00E71C57">
        <w:t xml:space="preserve"> </w:t>
      </w:r>
      <w:r>
        <w:t xml:space="preserve">η διάμετρος της οποίας καθορίζει τη χωρική διακριτική ικανότητα του συστήματος.  </w:t>
      </w:r>
    </w:p>
    <w:p w:rsidR="00482B5E" w:rsidRDefault="00482B5E" w:rsidP="00482B5E">
      <w:pPr>
        <w:pStyle w:val="NoSpacing"/>
        <w:spacing w:before="120"/>
        <w:jc w:val="both"/>
      </w:pPr>
      <w:r>
        <w:t xml:space="preserve">Το φως που προκύπτει από τη φωτοδιέγερση με τη δέσμη </w:t>
      </w:r>
      <w:r>
        <w:rPr>
          <w:lang w:val="en-US"/>
        </w:rPr>
        <w:t>laser</w:t>
      </w:r>
      <w:r>
        <w:t xml:space="preserve"> καταγράφεται και μετά από επεξεργασία στον Η/Υ προκύπτει η ορατή εικόνα. </w:t>
      </w:r>
    </w:p>
    <w:p w:rsidR="00482B5E" w:rsidRDefault="00482B5E" w:rsidP="00F277B0">
      <w:pPr>
        <w:pStyle w:val="NoSpacing"/>
        <w:spacing w:before="120"/>
        <w:jc w:val="center"/>
      </w:pPr>
    </w:p>
    <w:p w:rsidR="00482B5E" w:rsidRDefault="00F277B0" w:rsidP="00482B5E">
      <w:pPr>
        <w:pStyle w:val="NoSpacing"/>
        <w:spacing w:before="120"/>
        <w:jc w:val="center"/>
      </w:pPr>
      <w:r>
        <w:rPr>
          <w:noProof/>
          <w:bdr w:val="none" w:sz="0" w:space="0" w:color="auto"/>
          <w:lang w:val="en-US"/>
        </w:rPr>
        <w:lastRenderedPageBreak/>
        <w:pict>
          <v:rect id="_x0000_s1037" style="position:absolute;left:0;text-align:left;margin-left:13.05pt;margin-top:0;width:456pt;height:131.25pt;z-index:251663360" filled="f" strokecolor="#b2a1c7 [1943]" strokeweight="1.5pt"/>
        </w:pict>
      </w:r>
      <w:r>
        <w:rPr>
          <w:noProof/>
          <w:lang w:eastAsia="zh-TW"/>
        </w:rPr>
        <w:pict>
          <v:shape id="_x0000_s1038" type="#_x0000_t202" style="position:absolute;left:0;text-align:left;margin-left:90pt;margin-top:25.4pt;width:58pt;height:27.5pt;z-index:251664384;mso-height-percent:200;mso-height-percent:200;mso-width-relative:margin;mso-height-relative:margin" fillcolor="#dbe5f1 [660]" strokecolor="#95b3d7 [1940]">
            <v:textbox style="mso-next-textbox:#_x0000_s1038;mso-fit-shape-to-text:t">
              <w:txbxContent>
                <w:p w:rsidR="00482B5E" w:rsidRPr="00D57A28" w:rsidRDefault="00482B5E" w:rsidP="00482B5E">
                  <w:pPr>
                    <w:pStyle w:val="NoSpacing"/>
                    <w:rPr>
                      <w:sz w:val="16"/>
                      <w:lang w:val="en-US"/>
                    </w:rPr>
                  </w:pPr>
                  <w:r w:rsidRPr="00D57A28">
                    <w:rPr>
                      <w:sz w:val="16"/>
                    </w:rPr>
                    <w:t xml:space="preserve">Παγίδα </w:t>
                  </w:r>
                  <w:r w:rsidRPr="00D57A28">
                    <w:rPr>
                      <w:sz w:val="16"/>
                    </w:rPr>
                    <w:t>ηλεκτρονίων</w:t>
                  </w:r>
                </w:p>
              </w:txbxContent>
            </v:textbox>
          </v:shape>
        </w:pict>
      </w:r>
      <w:r>
        <w:rPr>
          <w:noProof/>
          <w:bdr w:val="none" w:sz="0" w:space="0" w:color="auto"/>
          <w:lang w:val="en-US"/>
        </w:rPr>
        <w:pict>
          <v:shape id="_x0000_s1040" type="#_x0000_t202" style="position:absolute;left:0;text-align:left;margin-left:307.75pt;margin-top:-1.55pt;width:105.5pt;height:26.95pt;z-index:251666432;mso-width-relative:margin;mso-height-relative:margin" fillcolor="#dbe5f1 [660]" strokecolor="#95b3d7 [1940]">
            <v:textbox style="mso-next-textbox:#_x0000_s1040">
              <w:txbxContent>
                <w:p w:rsidR="00482B5E" w:rsidRPr="00D57A28" w:rsidRDefault="00482B5E" w:rsidP="00482B5E">
                  <w:pPr>
                    <w:pStyle w:val="NoSpacing"/>
                    <w:rPr>
                      <w:sz w:val="16"/>
                    </w:rPr>
                  </w:pPr>
                  <w:r>
                    <w:rPr>
                      <w:sz w:val="16"/>
                    </w:rPr>
                    <w:t xml:space="preserve">Δέσμη </w:t>
                  </w:r>
                  <w:r>
                    <w:rPr>
                      <w:sz w:val="16"/>
                      <w:lang w:val="en-US"/>
                    </w:rPr>
                    <w:t>Laser</w:t>
                  </w:r>
                  <w:r>
                    <w:rPr>
                      <w:sz w:val="16"/>
                    </w:rPr>
                    <w:t xml:space="preserve"> </w:t>
                  </w:r>
                  <w:r>
                    <w:rPr>
                      <w:sz w:val="16"/>
                    </w:rPr>
                    <w:t>- Κόκκινο φως</w:t>
                  </w:r>
                </w:p>
                <w:p w:rsidR="00482B5E" w:rsidRDefault="00482B5E" w:rsidP="00482B5E">
                  <w:pPr>
                    <w:pStyle w:val="NoSpacing"/>
                    <w:rPr>
                      <w:sz w:val="16"/>
                    </w:rPr>
                  </w:pPr>
                  <w:r>
                    <w:rPr>
                      <w:sz w:val="16"/>
                    </w:rPr>
                    <w:t>Φωτοδιέγερση</w:t>
                  </w:r>
                </w:p>
              </w:txbxContent>
            </v:textbox>
          </v:shape>
        </w:pict>
      </w:r>
      <w:r>
        <w:rPr>
          <w:noProof/>
          <w:bdr w:val="none" w:sz="0" w:space="0" w:color="auto"/>
          <w:lang w:val="en-US"/>
        </w:rPr>
        <w:pict>
          <v:shape id="_x0000_s1042" type="#_x0000_t202" style="position:absolute;left:0;text-align:left;margin-left:382.5pt;margin-top:69.1pt;width:88.5pt;height:17.7pt;z-index:251668480;mso-height-percent:200;mso-height-percent:200;mso-width-relative:margin;mso-height-relative:margin" fillcolor="#dbe5f1 [660]" strokecolor="#95b3d7 [1940]">
            <v:textbox style="mso-next-textbox:#_x0000_s1042;mso-fit-shape-to-text:t">
              <w:txbxContent>
                <w:p w:rsidR="00482B5E" w:rsidRDefault="00482B5E" w:rsidP="00482B5E">
                  <w:pPr>
                    <w:pStyle w:val="NoSpacing"/>
                    <w:rPr>
                      <w:sz w:val="16"/>
                    </w:rPr>
                  </w:pPr>
                  <w:r>
                    <w:rPr>
                      <w:sz w:val="16"/>
                    </w:rPr>
                    <w:t>Μπλε Φως – Εκπομπή</w:t>
                  </w:r>
                </w:p>
              </w:txbxContent>
            </v:textbox>
          </v:shape>
        </w:pict>
      </w:r>
      <w:r>
        <w:rPr>
          <w:noProof/>
          <w:bdr w:val="none" w:sz="0" w:space="0" w:color="auto"/>
          <w:lang w:val="en-US"/>
        </w:rPr>
        <w:pict>
          <v:shape id="_x0000_s1039" type="#_x0000_t202" style="position:absolute;left:0;text-align:left;margin-left:7.05pt;margin-top:42.45pt;width:64.1pt;height:25.75pt;z-index:251665408;mso-width-relative:margin;mso-height-relative:margin" fillcolor="#dbe5f1 [660]" strokecolor="#95b3d7 [1940]">
            <v:textbox style="mso-next-textbox:#_x0000_s1039">
              <w:txbxContent>
                <w:p w:rsidR="00482B5E" w:rsidRDefault="00482B5E" w:rsidP="00482B5E">
                  <w:pPr>
                    <w:pStyle w:val="NoSpacing"/>
                    <w:rPr>
                      <w:sz w:val="16"/>
                    </w:rPr>
                  </w:pPr>
                  <w:r>
                    <w:rPr>
                      <w:sz w:val="16"/>
                    </w:rPr>
                    <w:t>Φωτόνια – Χ</w:t>
                  </w:r>
                </w:p>
                <w:p w:rsidR="00482B5E" w:rsidRPr="00D57A28" w:rsidRDefault="00482B5E" w:rsidP="00482B5E">
                  <w:pPr>
                    <w:pStyle w:val="NoSpacing"/>
                    <w:rPr>
                      <w:sz w:val="16"/>
                      <w:lang w:val="en-US"/>
                    </w:rPr>
                  </w:pPr>
                  <w:r>
                    <w:rPr>
                      <w:sz w:val="16"/>
                    </w:rPr>
                    <w:t>απορρόφηση</w:t>
                  </w:r>
                </w:p>
              </w:txbxContent>
            </v:textbox>
          </v:shape>
        </w:pict>
      </w:r>
      <w:r>
        <w:rPr>
          <w:noProof/>
          <w:bdr w:val="none" w:sz="0" w:space="0" w:color="auto"/>
          <w:lang w:val="en-US"/>
        </w:rPr>
        <w:pict>
          <v:shape id="_x0000_s1041" type="#_x0000_t202" style="position:absolute;left:0;text-align:left;margin-left:148.5pt;margin-top:87.4pt;width:58pt;height:27.5pt;z-index:251667456;mso-height-percent:200;mso-height-percent:200;mso-width-relative:margin;mso-height-relative:margin" fillcolor="#dbe5f1 [660]" strokecolor="#95b3d7 [1940]">
            <v:textbox style="mso-next-textbox:#_x0000_s1041;mso-fit-shape-to-text:t">
              <w:txbxContent>
                <w:p w:rsidR="00482B5E" w:rsidRPr="00D57A28" w:rsidRDefault="00482B5E" w:rsidP="00482B5E">
                  <w:pPr>
                    <w:pStyle w:val="NoSpacing"/>
                    <w:rPr>
                      <w:sz w:val="16"/>
                      <w:lang w:val="en-US"/>
                    </w:rPr>
                  </w:pPr>
                  <w:r>
                    <w:rPr>
                      <w:sz w:val="16"/>
                    </w:rPr>
                    <w:t>Σταθερή κατάσταση</w:t>
                  </w:r>
                </w:p>
              </w:txbxContent>
            </v:textbox>
          </v:shape>
        </w:pict>
      </w:r>
      <w:r w:rsidR="00482B5E" w:rsidRPr="000C7216">
        <w:drawing>
          <wp:inline distT="0" distB="0" distL="0" distR="0">
            <wp:extent cx="5321300" cy="1358900"/>
            <wp:effectExtent l="19050" t="0" r="0" b="0"/>
            <wp:docPr id="5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1300" cy="1358900"/>
                      <a:chOff x="1682750" y="3587750"/>
                      <a:chExt cx="5321300" cy="1358900"/>
                    </a:xfrm>
                  </a:grpSpPr>
                  <a:sp>
                    <a:nvSpPr>
                      <a:cNvPr id="136197" name="Rectangle 5"/>
                      <a:cNvSpPr>
                        <a:spLocks noChangeArrowheads="1"/>
                      </a:cNvSpPr>
                    </a:nvSpPr>
                    <a:spPr bwMode="auto">
                      <a:xfrm>
                        <a:off x="1682750" y="3587750"/>
                        <a:ext cx="1968500" cy="1358900"/>
                      </a:xfrm>
                      <a:prstGeom prst="rect">
                        <a:avLst/>
                      </a:prstGeom>
                      <a:noFill/>
                      <a:ln w="12700">
                        <a:solidFill>
                          <a:srgbClr val="00279F"/>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nvGrpSpPr>
                      <a:cNvPr id="136198" name="Group 6"/>
                      <a:cNvGrpSpPr>
                        <a:grpSpLocks/>
                      </a:cNvGrpSpPr>
                    </a:nvGrpSpPr>
                    <a:grpSpPr bwMode="auto">
                      <a:xfrm>
                        <a:off x="1812925" y="4694238"/>
                        <a:ext cx="792163" cy="133350"/>
                        <a:chOff x="1142" y="2957"/>
                        <a:chExt cx="499" cy="84"/>
                      </a:xfrm>
                    </a:grpSpPr>
                    <a:sp>
                      <a:nvSpPr>
                        <a:cNvPr id="136199" name="Oval 7"/>
                        <a:cNvSpPr>
                          <a:spLocks noChangeArrowheads="1"/>
                        </a:cNvSpPr>
                      </a:nvSpPr>
                      <a:spPr bwMode="auto">
                        <a:xfrm>
                          <a:off x="1142" y="295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00" name="Oval 8"/>
                        <a:cNvSpPr>
                          <a:spLocks noChangeArrowheads="1"/>
                        </a:cNvSpPr>
                      </a:nvSpPr>
                      <a:spPr bwMode="auto">
                        <a:xfrm>
                          <a:off x="1334" y="295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01" name="Oval 9"/>
                        <a:cNvSpPr>
                          <a:spLocks noChangeArrowheads="1"/>
                        </a:cNvSpPr>
                      </a:nvSpPr>
                      <a:spPr bwMode="auto">
                        <a:xfrm>
                          <a:off x="1526" y="295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36202" name="Group 10"/>
                      <a:cNvGrpSpPr>
                        <a:grpSpLocks/>
                      </a:cNvGrpSpPr>
                    </a:nvGrpSpPr>
                    <a:grpSpPr bwMode="auto">
                      <a:xfrm>
                        <a:off x="2574925" y="3932238"/>
                        <a:ext cx="792163" cy="133350"/>
                        <a:chOff x="1622" y="2477"/>
                        <a:chExt cx="499" cy="84"/>
                      </a:xfrm>
                    </a:grpSpPr>
                    <a:sp>
                      <a:nvSpPr>
                        <a:cNvPr id="136203" name="Oval 11"/>
                        <a:cNvSpPr>
                          <a:spLocks noChangeArrowheads="1"/>
                        </a:cNvSpPr>
                      </a:nvSpPr>
                      <a:spPr bwMode="auto">
                        <a:xfrm>
                          <a:off x="1622" y="247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04" name="Oval 12"/>
                        <a:cNvSpPr>
                          <a:spLocks noChangeArrowheads="1"/>
                        </a:cNvSpPr>
                      </a:nvSpPr>
                      <a:spPr bwMode="auto">
                        <a:xfrm>
                          <a:off x="1814" y="247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05" name="Oval 13"/>
                        <a:cNvSpPr>
                          <a:spLocks noChangeArrowheads="1"/>
                        </a:cNvSpPr>
                      </a:nvSpPr>
                      <a:spPr bwMode="auto">
                        <a:xfrm>
                          <a:off x="2006" y="247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136206" name="Line 14"/>
                      <a:cNvSpPr>
                        <a:spLocks noChangeShapeType="1"/>
                      </a:cNvSpPr>
                    </a:nvSpPr>
                    <a:spPr bwMode="auto">
                      <a:xfrm flipV="1">
                        <a:off x="2438400" y="4032250"/>
                        <a:ext cx="0" cy="546100"/>
                      </a:xfrm>
                      <a:prstGeom prst="line">
                        <a:avLst/>
                      </a:prstGeom>
                      <a:noFill/>
                      <a:ln w="12700">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07" name="Line 15"/>
                      <a:cNvSpPr>
                        <a:spLocks noChangeShapeType="1"/>
                      </a:cNvSpPr>
                    </a:nvSpPr>
                    <a:spPr bwMode="auto">
                      <a:xfrm>
                        <a:off x="330200" y="4419600"/>
                        <a:ext cx="1092200" cy="0"/>
                      </a:xfrm>
                      <a:prstGeom prst="line">
                        <a:avLst/>
                      </a:prstGeom>
                      <a:noFill/>
                      <a:ln w="50800">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nvGrpSpPr>
                      <a:cNvPr id="136208" name="Group 16"/>
                      <a:cNvGrpSpPr>
                        <a:grpSpLocks/>
                      </a:cNvGrpSpPr>
                    </a:nvGrpSpPr>
                    <a:grpSpPr bwMode="auto">
                      <a:xfrm>
                        <a:off x="5035550" y="3587750"/>
                        <a:ext cx="1968500" cy="1358900"/>
                        <a:chOff x="3172" y="2260"/>
                        <a:chExt cx="1240" cy="856"/>
                      </a:xfrm>
                    </a:grpSpPr>
                    <a:sp>
                      <a:nvSpPr>
                        <a:cNvPr id="136209" name="Rectangle 17"/>
                        <a:cNvSpPr>
                          <a:spLocks noChangeArrowheads="1"/>
                        </a:cNvSpPr>
                      </a:nvSpPr>
                      <a:spPr bwMode="auto">
                        <a:xfrm>
                          <a:off x="3172" y="2260"/>
                          <a:ext cx="1240" cy="856"/>
                        </a:xfrm>
                        <a:prstGeom prst="rect">
                          <a:avLst/>
                        </a:prstGeom>
                        <a:noFill/>
                        <a:ln w="12700">
                          <a:solidFill>
                            <a:srgbClr val="00279F"/>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nvGrpSpPr>
                        <a:cNvPr id="15" name="Group 18"/>
                        <a:cNvGrpSpPr>
                          <a:grpSpLocks/>
                        </a:cNvGrpSpPr>
                      </a:nvGrpSpPr>
                      <a:grpSpPr bwMode="auto">
                        <a:xfrm>
                          <a:off x="3830" y="2957"/>
                          <a:ext cx="499" cy="84"/>
                          <a:chOff x="3830" y="2957"/>
                          <a:chExt cx="499" cy="84"/>
                        </a:xfrm>
                      </a:grpSpPr>
                      <a:sp>
                        <a:nvSpPr>
                          <a:cNvPr id="136211" name="Oval 19"/>
                          <a:cNvSpPr>
                            <a:spLocks noChangeArrowheads="1"/>
                          </a:cNvSpPr>
                        </a:nvSpPr>
                        <a:spPr bwMode="auto">
                          <a:xfrm>
                            <a:off x="3830" y="295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12" name="Oval 20"/>
                          <a:cNvSpPr>
                            <a:spLocks noChangeArrowheads="1"/>
                          </a:cNvSpPr>
                        </a:nvSpPr>
                        <a:spPr bwMode="auto">
                          <a:xfrm>
                            <a:off x="4022" y="295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13" name="Oval 21"/>
                          <a:cNvSpPr>
                            <a:spLocks noChangeArrowheads="1"/>
                          </a:cNvSpPr>
                        </a:nvSpPr>
                        <a:spPr bwMode="auto">
                          <a:xfrm>
                            <a:off x="4214" y="2957"/>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6" name="Group 22"/>
                        <a:cNvGrpSpPr>
                          <a:grpSpLocks/>
                        </a:cNvGrpSpPr>
                      </a:nvGrpSpPr>
                      <a:grpSpPr bwMode="auto">
                        <a:xfrm>
                          <a:off x="3302" y="2429"/>
                          <a:ext cx="499" cy="84"/>
                          <a:chOff x="3302" y="2429"/>
                          <a:chExt cx="499" cy="84"/>
                        </a:xfrm>
                      </a:grpSpPr>
                      <a:sp>
                        <a:nvSpPr>
                          <a:cNvPr id="136215" name="Oval 23"/>
                          <a:cNvSpPr>
                            <a:spLocks noChangeArrowheads="1"/>
                          </a:cNvSpPr>
                        </a:nvSpPr>
                        <a:spPr bwMode="auto">
                          <a:xfrm>
                            <a:off x="3302" y="2429"/>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16" name="Oval 24"/>
                          <a:cNvSpPr>
                            <a:spLocks noChangeArrowheads="1"/>
                          </a:cNvSpPr>
                        </a:nvSpPr>
                        <a:spPr bwMode="auto">
                          <a:xfrm>
                            <a:off x="3494" y="2429"/>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17" name="Oval 25"/>
                          <a:cNvSpPr>
                            <a:spLocks noChangeArrowheads="1"/>
                          </a:cNvSpPr>
                        </a:nvSpPr>
                        <a:spPr bwMode="auto">
                          <a:xfrm>
                            <a:off x="3686" y="2429"/>
                            <a:ext cx="115" cy="84"/>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136218" name="Line 26"/>
                        <a:cNvSpPr>
                          <a:spLocks noChangeShapeType="1"/>
                        </a:cNvSpPr>
                      </a:nvSpPr>
                      <a:spPr bwMode="auto">
                        <a:xfrm flipV="1">
                          <a:off x="3840" y="2540"/>
                          <a:ext cx="0" cy="344"/>
                        </a:xfrm>
                        <a:prstGeom prst="line">
                          <a:avLst/>
                        </a:prstGeom>
                        <a:noFill/>
                        <a:ln w="12700">
                          <a:solidFill>
                            <a:schemeClr val="tx1"/>
                          </a:solidFill>
                          <a:round/>
                          <a:headEnd type="triangle" w="med" len="me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136219" name="Line 27"/>
                      <a:cNvSpPr>
                        <a:spLocks noChangeShapeType="1"/>
                      </a:cNvSpPr>
                    </a:nvSpPr>
                    <a:spPr bwMode="auto">
                      <a:xfrm>
                        <a:off x="7264400" y="4038600"/>
                        <a:ext cx="1092200" cy="0"/>
                      </a:xfrm>
                      <a:prstGeom prst="line">
                        <a:avLst/>
                      </a:prstGeom>
                      <a:noFill/>
                      <a:ln w="50800">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20" name="Line 28"/>
                      <a:cNvSpPr>
                        <a:spLocks noChangeShapeType="1"/>
                      </a:cNvSpPr>
                    </a:nvSpPr>
                    <a:spPr bwMode="auto">
                      <a:xfrm>
                        <a:off x="7264400" y="4724400"/>
                        <a:ext cx="1092200" cy="0"/>
                      </a:xfrm>
                      <a:prstGeom prst="line">
                        <a:avLst/>
                      </a:prstGeom>
                      <a:noFill/>
                      <a:ln w="50800">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6223" name="Line 31"/>
                      <a:cNvSpPr>
                        <a:spLocks noChangeShapeType="1"/>
                      </a:cNvSpPr>
                    </a:nvSpPr>
                    <a:spPr bwMode="auto">
                      <a:xfrm>
                        <a:off x="5715000" y="2768600"/>
                        <a:ext cx="0" cy="711200"/>
                      </a:xfrm>
                      <a:prstGeom prst="line">
                        <a:avLst/>
                      </a:prstGeom>
                      <a:noFill/>
                      <a:ln w="50800">
                        <a:solidFill>
                          <a:srgbClr val="CF0E30"/>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482B5E" w:rsidRDefault="00482B5E" w:rsidP="00482B5E">
      <w:pPr>
        <w:shd w:val="clear" w:color="auto" w:fill="auto"/>
        <w:spacing w:after="200" w:line="276" w:lineRule="auto"/>
        <w:textAlignment w:val="auto"/>
      </w:pPr>
    </w:p>
    <w:p w:rsidR="00482B5E" w:rsidRDefault="00482B5E" w:rsidP="00482B5E">
      <w:pPr>
        <w:shd w:val="clear" w:color="auto" w:fill="auto"/>
        <w:spacing w:after="200" w:line="276" w:lineRule="auto"/>
        <w:textAlignment w:val="auto"/>
      </w:pPr>
    </w:p>
    <w:p w:rsidR="00482B5E" w:rsidRDefault="00482B5E" w:rsidP="00482B5E">
      <w:pPr>
        <w:pStyle w:val="NoSpacing"/>
        <w:spacing w:before="120"/>
        <w:jc w:val="both"/>
        <w:rPr>
          <w:lang w:val="en-US"/>
        </w:rPr>
      </w:pPr>
      <w:r>
        <w:t xml:space="preserve">Η </w:t>
      </w:r>
      <w:r>
        <w:rPr>
          <w:lang w:val="en-US"/>
        </w:rPr>
        <w:t>PSP</w:t>
      </w:r>
      <w:r w:rsidRPr="00BE64E6">
        <w:t xml:space="preserve"> </w:t>
      </w:r>
      <w:r>
        <w:t xml:space="preserve">πλάκα ακολούθως φωτίζεται με έντονο φως που επαναφέρει όλους τους διεγερμένους κρυστάλλους για να μπορεί η πινακίδα να ξαναχρησιμοποιηθεί χωρίς να υπάρχει υπολειμματική λανθάνουσα εικόνα σε αυτήν. Η πινακίδα πρέπει να χρησιμοποιείται σε μικρό χρονικό διάστημα μετά το σβήσιμο, διαφορετικά θα πρέπει να ξανασβήνονται πριν την επαναχρησιμοποίηση.  </w:t>
      </w:r>
    </w:p>
    <w:p w:rsidR="00D82976" w:rsidRPr="00D82976" w:rsidRDefault="00D82976" w:rsidP="00482B5E">
      <w:pPr>
        <w:pStyle w:val="NoSpacing"/>
        <w:spacing w:before="120"/>
        <w:jc w:val="both"/>
        <w:rPr>
          <w:lang w:val="en-US"/>
        </w:rPr>
      </w:pPr>
    </w:p>
    <w:p w:rsidR="00482B5E" w:rsidRDefault="00482B5E" w:rsidP="00482B5E">
      <w:pPr>
        <w:pStyle w:val="NoSpacing"/>
        <w:spacing w:before="120"/>
        <w:jc w:val="both"/>
      </w:pPr>
      <w:r>
        <w:rPr>
          <w:noProof/>
          <w:lang w:val="en-US"/>
        </w:rPr>
        <w:drawing>
          <wp:inline distT="0" distB="0" distL="0" distR="0">
            <wp:extent cx="2295525" cy="2295525"/>
            <wp:effectExtent l="19050" t="19050" r="28575" b="28575"/>
            <wp:docPr id="55" name="irc_mi" descr="http://www.medwow.com/fcr-capsula-xl-ii.mth70388_9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wow.com/fcr-capsula-xl-ii.mth70388_92_63.jpg"/>
                    <pic:cNvPicPr>
                      <a:picLocks noChangeAspect="1" noChangeArrowheads="1"/>
                    </pic:cNvPicPr>
                  </pic:nvPicPr>
                  <pic:blipFill>
                    <a:blip r:embed="rId8" cstate="print">
                      <a:lum bright="-10000" contrast="10000"/>
                    </a:blip>
                    <a:srcRect/>
                    <a:stretch>
                      <a:fillRect/>
                    </a:stretch>
                  </pic:blipFill>
                  <pic:spPr bwMode="auto">
                    <a:xfrm>
                      <a:off x="0" y="0"/>
                      <a:ext cx="2295525" cy="2295525"/>
                    </a:xfrm>
                    <a:prstGeom prst="rect">
                      <a:avLst/>
                    </a:prstGeom>
                    <a:noFill/>
                    <a:ln w="9525">
                      <a:solidFill>
                        <a:schemeClr val="accent1"/>
                      </a:solidFill>
                      <a:miter lim="800000"/>
                      <a:headEnd/>
                      <a:tailEnd/>
                    </a:ln>
                  </pic:spPr>
                </pic:pic>
              </a:graphicData>
            </a:graphic>
          </wp:inline>
        </w:drawing>
      </w:r>
      <w:r>
        <w:t xml:space="preserve">  </w:t>
      </w:r>
      <w:r>
        <w:rPr>
          <w:noProof/>
          <w:lang w:val="en-US"/>
        </w:rPr>
        <w:drawing>
          <wp:inline distT="0" distB="0" distL="0" distR="0">
            <wp:extent cx="2914650" cy="2305685"/>
            <wp:effectExtent l="19050" t="19050" r="19050" b="18415"/>
            <wp:docPr id="56" name="irc_mi" descr="http://www.rcimaging.com/products/images/big/fuji-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cimaging.com/products/images/big/fuji-repair.jpg"/>
                    <pic:cNvPicPr>
                      <a:picLocks noChangeAspect="1" noChangeArrowheads="1"/>
                    </pic:cNvPicPr>
                  </pic:nvPicPr>
                  <pic:blipFill>
                    <a:blip r:embed="rId9" cstate="print">
                      <a:lum bright="-10000" contrast="10000"/>
                    </a:blip>
                    <a:srcRect l="8791" t="10255" r="16482" b="1090"/>
                    <a:stretch>
                      <a:fillRect/>
                    </a:stretch>
                  </pic:blipFill>
                  <pic:spPr bwMode="auto">
                    <a:xfrm>
                      <a:off x="0" y="0"/>
                      <a:ext cx="2914650" cy="2305685"/>
                    </a:xfrm>
                    <a:prstGeom prst="rect">
                      <a:avLst/>
                    </a:prstGeom>
                    <a:noFill/>
                    <a:ln w="9525">
                      <a:solidFill>
                        <a:schemeClr val="accent1"/>
                      </a:solidFill>
                      <a:miter lim="800000"/>
                      <a:headEnd/>
                      <a:tailEnd/>
                    </a:ln>
                  </pic:spPr>
                </pic:pic>
              </a:graphicData>
            </a:graphic>
          </wp:inline>
        </w:drawing>
      </w:r>
    </w:p>
    <w:p w:rsidR="00D82976" w:rsidRDefault="00D82976" w:rsidP="00482B5E">
      <w:pPr>
        <w:pStyle w:val="NoSpacing"/>
        <w:spacing w:before="120"/>
        <w:jc w:val="both"/>
        <w:rPr>
          <w:lang w:val="en-US"/>
        </w:rPr>
      </w:pPr>
    </w:p>
    <w:p w:rsidR="00482B5E" w:rsidRDefault="00482B5E" w:rsidP="00482B5E">
      <w:pPr>
        <w:pStyle w:val="NoSpacing"/>
        <w:spacing w:before="120"/>
        <w:jc w:val="both"/>
      </w:pPr>
      <w:r>
        <w:t xml:space="preserve">Και για τις ΥΑ τα ποιοτικά χαρακτηριστικά είναι ίδια με την συμβατική ακτινογραφία: χωρική και διακριτική ικανότητα, θόρυβος και τεχνικά σφάλματα/ψευδενδείξεις, αλλά ορίζονται και ελέγχονται διαφορετικά. </w:t>
      </w:r>
    </w:p>
    <w:p w:rsidR="00482B5E" w:rsidRDefault="00482B5E" w:rsidP="00482B5E">
      <w:pPr>
        <w:pStyle w:val="NoSpacing"/>
        <w:spacing w:before="120"/>
        <w:jc w:val="both"/>
      </w:pPr>
      <w:r>
        <w:t>Αυτό που είναι σημαντικό να καταλάβουμε είναι ότι ο ανιχνευτής έχει συγκεκριμένη απόκριση στην προσπίπτουσα ακτινοβολία (</w:t>
      </w:r>
      <w:r>
        <w:rPr>
          <w:lang w:val="en-US"/>
        </w:rPr>
        <w:t>image</w:t>
      </w:r>
      <w:r w:rsidRPr="00A91BC8">
        <w:t xml:space="preserve"> </w:t>
      </w:r>
      <w:r>
        <w:rPr>
          <w:lang w:val="en-US"/>
        </w:rPr>
        <w:t>receptor</w:t>
      </w:r>
      <w:r w:rsidRPr="00A91BC8">
        <w:t xml:space="preserve"> </w:t>
      </w:r>
      <w:r>
        <w:rPr>
          <w:lang w:val="en-US"/>
        </w:rPr>
        <w:t>response</w:t>
      </w:r>
      <w:r w:rsidRPr="00A91BC8">
        <w:t xml:space="preserve"> </w:t>
      </w:r>
      <w:r>
        <w:rPr>
          <w:lang w:val="en-US"/>
        </w:rPr>
        <w:t>function</w:t>
      </w:r>
      <w:r w:rsidRPr="00A91BC8">
        <w:t>)</w:t>
      </w:r>
      <w:r>
        <w:t xml:space="preserve"> που είναι διαφορετική από την απόκριση του  συστήματος ΕΠ-φιλμ. Η ανταπόκριση ΕΠ-φιλμ εκτείνεται σε ένα εύρος ΟΠ από 0-3 που λογαριθμικά αντιστοιχεί σε 3 σειρές μεγέθους (διέλευση φωτός 1/1 = 0 ΟΠ, 1/10 = 1ΟΠ, 1/100 = 2 ΟΠ και 1/1000 = 3 ΟΠ). Η εικόνα στο ακτινολογικό φιλμ μπορεί να αναδείξει μέχρι 30 αποχρώσεις του γκρι στο διαφανοσκόπιο. Για το λόγο αυτό είναι πολύ σημαντική η επιλογή σωστών παραγόντων έκθεσης κατά την εκτέλεση μιας ακτινογραφίας με σύστημα ΕΠ-φιλμ, δηλαδή το εύρος έκθεσης είναι περιορισμένο. </w:t>
      </w:r>
    </w:p>
    <w:p w:rsidR="00482B5E" w:rsidRDefault="00482B5E" w:rsidP="00482B5E">
      <w:pPr>
        <w:pStyle w:val="NoSpacing"/>
        <w:spacing w:before="120"/>
        <w:jc w:val="both"/>
      </w:pPr>
      <w:r>
        <w:t xml:space="preserve">Αντίθετα στην ψηφιακή ακτονογραφία το εύρος έκθεσης είναι μεγαλύτερο, δηλαδή μπορούμε να λάβουμε ικανοποιητικές ακτινογραφίες ακόμα και εάν η έκθεση διαφέρει σημαντικά. </w:t>
      </w:r>
    </w:p>
    <w:p w:rsidR="00482B5E" w:rsidRDefault="00482B5E" w:rsidP="00482B5E">
      <w:pPr>
        <w:pStyle w:val="NoSpacing"/>
        <w:spacing w:before="120"/>
        <w:jc w:val="both"/>
      </w:pPr>
      <w:r>
        <w:lastRenderedPageBreak/>
        <w:t>Να προσέξετε στο παρακάτω σχήμα και τις εικόνες τις μεταβολές έκθεσης που δίνουν ικανοποιητική ακτινογραφία. Στο σύστημα ΕΠ-Φιλμ μόνο οι εκθέσεις (δόση) κάτω από το γαλάζιο κουτί δίνουν οπτικές πυκνότητες στο ευθύ τμήμα της χαρακτηριστικής καμπύλης. Στο ψηφιακό σύστημα όλες οι τιμές έκθεσης κάτω από ροζ κουτί θα δώσουν ικανοποιητικές πυκνότητες.</w:t>
      </w:r>
    </w:p>
    <w:p w:rsidR="00482B5E" w:rsidRDefault="00482B5E" w:rsidP="00482B5E">
      <w:pPr>
        <w:pStyle w:val="NoSpacing"/>
        <w:spacing w:before="120"/>
        <w:jc w:val="both"/>
      </w:pPr>
      <w:r>
        <w:t>Από αυτή τη συμπεριφορά προκύπτουν δύο πολύ σημαντικές πληροφορίες για την ψηφιακή ακτινογραφία</w:t>
      </w:r>
    </w:p>
    <w:p w:rsidR="00482B5E" w:rsidRDefault="00482B5E" w:rsidP="00482B5E">
      <w:pPr>
        <w:pStyle w:val="NoSpacing"/>
        <w:numPr>
          <w:ilvl w:val="0"/>
          <w:numId w:val="5"/>
        </w:numPr>
        <w:spacing w:before="120"/>
        <w:jc w:val="both"/>
      </w:pPr>
      <w:r>
        <w:t xml:space="preserve">Η επιλογή των </w:t>
      </w:r>
      <w:proofErr w:type="spellStart"/>
      <w:r>
        <w:rPr>
          <w:lang w:val="en-US"/>
        </w:rPr>
        <w:t>mAs</w:t>
      </w:r>
      <w:proofErr w:type="spellEnd"/>
      <w:r>
        <w:t xml:space="preserve"> είναι λιγότερο καθοριστική και επομένως μεγάλα σφάλματα δεν αποκλείουν τη σωστή απεικόνιση</w:t>
      </w:r>
    </w:p>
    <w:p w:rsidR="00482B5E" w:rsidRDefault="00482B5E" w:rsidP="00482B5E">
      <w:pPr>
        <w:pStyle w:val="NoSpacing"/>
        <w:numPr>
          <w:ilvl w:val="0"/>
          <w:numId w:val="5"/>
        </w:numPr>
        <w:spacing w:before="120"/>
        <w:jc w:val="both"/>
      </w:pPr>
      <w:r>
        <w:t>Αυτή η ευελιξία σημαίνει ότι ο ασθενής μπορεί να εκτεθεί σε υψηλότερη δόση ακτινοβολίας χωρίς αυτό να γίνει αντιληπτό, άρα χρειάζεται μεγαλύτερη εγρήγορση</w:t>
      </w:r>
    </w:p>
    <w:p w:rsidR="00482B5E" w:rsidRDefault="00482B5E" w:rsidP="00482B5E">
      <w:pPr>
        <w:pStyle w:val="NoSpacing"/>
        <w:numPr>
          <w:ilvl w:val="0"/>
          <w:numId w:val="5"/>
        </w:numPr>
        <w:spacing w:before="120"/>
        <w:jc w:val="both"/>
      </w:pPr>
      <w:r>
        <w:t xml:space="preserve">Το ότι η </w:t>
      </w:r>
      <w:r w:rsidR="00F277B0" w:rsidRPr="00F277B0">
        <w:t>“</w:t>
      </w:r>
      <w:r>
        <w:t>ΧΚ</w:t>
      </w:r>
      <w:r w:rsidR="00F277B0" w:rsidRPr="00F277B0">
        <w:t>”</w:t>
      </w:r>
      <w:r>
        <w:t xml:space="preserve"> του ψηφιακού ανιχνευτή είναι πιο οριζόντια από την αντίστοιχη του συστήματος ΕΠ-Φιλμ σημαίνει ότι η αρχική εικόνα έχει σημαντικά χαμηλότερη ΣΑ, αυτό όμως αποκαθίσταται με επεξεργασία της εικόνας.</w:t>
      </w:r>
    </w:p>
    <w:p w:rsidR="00F277B0" w:rsidRDefault="00F277B0" w:rsidP="00F277B0">
      <w:pPr>
        <w:shd w:val="clear" w:color="auto" w:fill="auto"/>
        <w:spacing w:after="200" w:line="276" w:lineRule="auto"/>
        <w:textAlignment w:val="auto"/>
        <w:rPr>
          <w:rFonts w:asciiTheme="minorHAnsi" w:hAnsiTheme="minorHAnsi" w:cstheme="minorBidi"/>
          <w:color w:val="auto"/>
          <w:sz w:val="22"/>
          <w:szCs w:val="22"/>
          <w:shd w:val="clear" w:color="auto" w:fill="auto"/>
        </w:rPr>
      </w:pPr>
    </w:p>
    <w:p w:rsidR="00F277B0" w:rsidRDefault="00D82976" w:rsidP="00F277B0">
      <w:pPr>
        <w:pStyle w:val="NoSpacing"/>
        <w:spacing w:before="120"/>
        <w:jc w:val="both"/>
      </w:pPr>
      <w:r>
        <w:rPr>
          <w:noProof/>
          <w:bdr w:val="none" w:sz="0" w:space="0" w:color="auto"/>
          <w:lang w:val="en-US"/>
        </w:rPr>
        <w:pict>
          <v:group id="_x0000_s1064" style="position:absolute;left:0;text-align:left;margin-left:50.25pt;margin-top:8.7pt;width:345.1pt;height:303.4pt;z-index:251680768" coordorigin="2445,5557" coordsize="6902,6068">
            <v:group id="_x0000_s1047" style="position:absolute;left:2445;top:5557;width:6902;height:6068" coordorigin="2445,1225" coordsize="6902,6068">
              <v:rect id="_x0000_s1048" style="position:absolute;left:4710;top:2025;width:3552;height:4430" fillcolor="#f2dbdb [661]" stroked="f"/>
              <v:shape id="_x0000_s1049" type="#_x0000_t202" style="position:absolute;left:8770;top:3000;width:577;height:2100;mso-width-relative:margin;mso-height-relative:margin" fillcolor="#e5dfec [663]" strokecolor="#b2a1c7 [1943]">
                <v:textbox style="layout-flow:vertical;mso-next-textbox:#_x0000_s1049">
                  <w:txbxContent>
                    <w:p w:rsidR="00F277B0" w:rsidRPr="00B513BB" w:rsidRDefault="00F277B0" w:rsidP="00F277B0">
                      <w:pPr>
                        <w:pStyle w:val="NoSpacing"/>
                        <w:jc w:val="center"/>
                        <w:rPr>
                          <w:b/>
                          <w:color w:val="0070C0"/>
                        </w:rPr>
                      </w:pPr>
                      <w:r w:rsidRPr="00B513BB">
                        <w:rPr>
                          <w:b/>
                          <w:color w:val="0070C0"/>
                        </w:rPr>
                        <w:t>Οπτική πυκνότητα</w:t>
                      </w:r>
                    </w:p>
                  </w:txbxContent>
                </v:textbox>
              </v:shape>
              <v:shape id="_x0000_s1050" type="#_x0000_t202" style="position:absolute;left:8374;top:2190;width:516;height:4265;mso-width-relative:margin;mso-height-relative:margin" fillcolor="#e5dfec [663]" strokecolor="#b2a1c7 [1943]">
                <v:textbox style="mso-next-textbox:#_x0000_s1050">
                  <w:txbxContent>
                    <w:p w:rsidR="00F277B0" w:rsidRPr="00817133" w:rsidRDefault="00F277B0" w:rsidP="00F277B0">
                      <w:pPr>
                        <w:pStyle w:val="NoSpacing"/>
                        <w:rPr>
                          <w:color w:val="0070C0"/>
                          <w:sz w:val="20"/>
                        </w:rPr>
                      </w:pPr>
                      <w:r w:rsidRPr="00817133">
                        <w:rPr>
                          <w:color w:val="0070C0"/>
                          <w:sz w:val="20"/>
                        </w:rPr>
                        <w:t>4</w:t>
                      </w: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r w:rsidRPr="00817133">
                        <w:rPr>
                          <w:color w:val="0070C0"/>
                          <w:sz w:val="20"/>
                        </w:rPr>
                        <w:t>3</w:t>
                      </w: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r w:rsidRPr="00817133">
                        <w:rPr>
                          <w:color w:val="0070C0"/>
                          <w:sz w:val="20"/>
                        </w:rPr>
                        <w:t>2</w:t>
                      </w: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p>
                    <w:p w:rsidR="00F277B0" w:rsidRPr="00817133" w:rsidRDefault="00F277B0" w:rsidP="00F277B0">
                      <w:pPr>
                        <w:pStyle w:val="NoSpacing"/>
                        <w:rPr>
                          <w:color w:val="0070C0"/>
                          <w:sz w:val="20"/>
                        </w:rPr>
                      </w:pPr>
                      <w:r w:rsidRPr="00817133">
                        <w:rPr>
                          <w:color w:val="0070C0"/>
                          <w:sz w:val="20"/>
                        </w:rPr>
                        <w:t>1</w:t>
                      </w:r>
                    </w:p>
                    <w:p w:rsidR="00F277B0" w:rsidRPr="00817133" w:rsidRDefault="00F277B0" w:rsidP="00F277B0">
                      <w:pPr>
                        <w:pStyle w:val="NoSpacing"/>
                        <w:rPr>
                          <w:color w:val="0070C0"/>
                          <w:sz w:val="20"/>
                        </w:rPr>
                      </w:pPr>
                    </w:p>
                    <w:p w:rsidR="00F277B0" w:rsidRDefault="00F277B0" w:rsidP="00F277B0">
                      <w:pPr>
                        <w:pStyle w:val="NoSpacing"/>
                      </w:pPr>
                    </w:p>
                    <w:p w:rsidR="00F277B0" w:rsidRPr="00053C33" w:rsidRDefault="00F277B0" w:rsidP="00F277B0">
                      <w:pPr>
                        <w:pStyle w:val="NoSpacing"/>
                        <w:rPr>
                          <w:lang w:val="en-US"/>
                        </w:rPr>
                      </w:pPr>
                    </w:p>
                  </w:txbxContent>
                </v:textbox>
              </v:shape>
              <v:shape id="_x0000_s1051" type="#_x0000_t202" style="position:absolute;left:4841;top:1225;width:3406;height:428;mso-height-percent:200;mso-height-percent:200;mso-width-relative:margin;mso-height-relative:margin" fillcolor="#e5dfec [663]" strokecolor="#b2a1c7 [1943]">
                <v:textbox style="mso-next-textbox:#_x0000_s1051;mso-fit-shape-to-text:t">
                  <w:txbxContent>
                    <w:p w:rsidR="00F277B0" w:rsidRPr="00053C33" w:rsidRDefault="00F277B0" w:rsidP="00F277B0">
                      <w:pPr>
                        <w:pStyle w:val="NoSpacing"/>
                        <w:rPr>
                          <w:lang w:val="en-US"/>
                        </w:rPr>
                      </w:pPr>
                      <w:r>
                        <w:t xml:space="preserve">Δυναμικό </w:t>
                      </w:r>
                      <w:r>
                        <w:t>εύρος – Εύρος έκθεσης</w:t>
                      </w:r>
                    </w:p>
                  </w:txbxContent>
                </v:textbox>
              </v:shape>
              <v:shape id="_x0000_s1052" type="#_x0000_t202" style="position:absolute;left:5120;top:3485;width:1249;height:647;mso-height-percent:200;mso-height-percent:200;mso-width-relative:margin;mso-height-relative:margin" fillcolor="#f2dbdb [661]" strokecolor="#d99594 [1941]">
                <v:textbox style="mso-next-textbox:#_x0000_s1052;mso-fit-shape-to-text:t">
                  <w:txbxContent>
                    <w:p w:rsidR="00F277B0" w:rsidRPr="00053C33" w:rsidRDefault="00F277B0" w:rsidP="00F277B0">
                      <w:pPr>
                        <w:pStyle w:val="NoSpacing"/>
                        <w:rPr>
                          <w:b/>
                          <w:color w:val="FF0000"/>
                          <w:sz w:val="20"/>
                          <w:lang w:val="en-US"/>
                        </w:rPr>
                      </w:pPr>
                      <w:r w:rsidRPr="00053C33">
                        <w:rPr>
                          <w:b/>
                          <w:color w:val="FF0000"/>
                          <w:sz w:val="20"/>
                        </w:rPr>
                        <w:t xml:space="preserve">Ψηφιακός </w:t>
                      </w:r>
                      <w:r w:rsidRPr="00053C33">
                        <w:rPr>
                          <w:b/>
                          <w:color w:val="FF0000"/>
                          <w:sz w:val="20"/>
                        </w:rPr>
                        <w:t>ανιχνευτής</w:t>
                      </w:r>
                    </w:p>
                  </w:txbxContent>
                </v:textbox>
              </v:shape>
              <v:shapetype id="_x0000_t32" coordsize="21600,21600" o:spt="32" o:oned="t" path="m,l21600,21600e" filled="f">
                <v:path arrowok="t" fillok="f" o:connecttype="none"/>
                <o:lock v:ext="edit" shapetype="t"/>
              </v:shapetype>
              <v:shape id="_x0000_s1053" type="#_x0000_t32" style="position:absolute;left:4785;top:1755;width:3484;height:1" o:connectortype="straight" strokecolor="red" strokeweight="1.5pt">
                <v:stroke startarrow="block" endarrow="block"/>
              </v:shape>
              <v:shape id="_x0000_s1054" type="#_x0000_t32" style="position:absolute;left:6840;top:1920;width:885;height:0" o:connectortype="straight" strokecolor="#0070c0" strokeweight="1.5pt">
                <v:stroke startarrow="block" endarrow="block"/>
              </v:shape>
              <v:shape id="_x0000_s1055" type="#_x0000_t202" style="position:absolute;left:5426;top:6865;width:2187;height:428;mso-height-percent:200;mso-height-percent:200;mso-width-relative:margin;mso-height-relative:margin" fillcolor="#e5dfec [663]" strokecolor="#b2a1c7 [1943]">
                <v:textbox style="mso-next-textbox:#_x0000_s1055;mso-fit-shape-to-text:t">
                  <w:txbxContent>
                    <w:p w:rsidR="00F277B0" w:rsidRPr="00053C33" w:rsidRDefault="00F277B0" w:rsidP="00F277B0">
                      <w:pPr>
                        <w:pStyle w:val="NoSpacing"/>
                        <w:rPr>
                          <w:lang w:val="en-US"/>
                        </w:rPr>
                      </w:pPr>
                      <w:r>
                        <w:t xml:space="preserve">Δόση </w:t>
                      </w:r>
                      <w:r>
                        <w:t>ακτινοβολίας</w:t>
                      </w:r>
                    </w:p>
                  </w:txbxContent>
                </v:textbox>
              </v:shape>
              <v:shape id="_x0000_s1056" type="#_x0000_t202" style="position:absolute;left:2445;top:2971;width:578;height:2572;mso-width-percent:400;mso-height-percent:200;mso-width-percent:400;mso-height-percent:200;mso-width-relative:margin;mso-height-relative:margin" fillcolor="#f2dbdb [661]" strokecolor="#d99594 [1941]">
                <v:textbox style="layout-flow:vertical;mso-layout-flow-alt:bottom-to-top;mso-next-textbox:#_x0000_s1056;mso-fit-shape-to-text:t">
                  <w:txbxContent>
                    <w:p w:rsidR="00F277B0" w:rsidRPr="00B513BB" w:rsidRDefault="00F277B0" w:rsidP="00F277B0">
                      <w:pPr>
                        <w:pStyle w:val="NoSpacing"/>
                        <w:jc w:val="center"/>
                        <w:rPr>
                          <w:b/>
                          <w:color w:val="FF0000"/>
                          <w:lang w:val="en-US"/>
                        </w:rPr>
                      </w:pPr>
                      <w:r w:rsidRPr="00B513BB">
                        <w:rPr>
                          <w:b/>
                          <w:color w:val="FF0000"/>
                        </w:rPr>
                        <w:t xml:space="preserve">Ανταπόκριση </w:t>
                      </w:r>
                      <w:r w:rsidRPr="00B513BB">
                        <w:rPr>
                          <w:b/>
                          <w:color w:val="FF0000"/>
                        </w:rPr>
                        <w:t>ανιχνευτή</w:t>
                      </w:r>
                    </w:p>
                  </w:txbxContent>
                </v:textbox>
              </v:shape>
              <v:shape id="_x0000_s1057" type="#_x0000_t202" style="position:absolute;left:2918;top:2190;width:862;height:4265;mso-width-relative:margin;mso-height-relative:margin" fillcolor="#f2dbdb [661]" strokecolor="#d99594 [1941]">
                <v:textbox>
                  <w:txbxContent>
                    <w:p w:rsidR="00F277B0" w:rsidRPr="00B513BB" w:rsidRDefault="00F277B0" w:rsidP="00F277B0">
                      <w:pPr>
                        <w:pStyle w:val="NoSpacing"/>
                        <w:rPr>
                          <w:color w:val="FF0000"/>
                          <w:sz w:val="20"/>
                        </w:rPr>
                      </w:pPr>
                      <w:r w:rsidRPr="00B513BB">
                        <w:rPr>
                          <w:color w:val="FF0000"/>
                          <w:sz w:val="20"/>
                        </w:rPr>
                        <w:t>10000</w:t>
                      </w: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r w:rsidRPr="00B513BB">
                        <w:rPr>
                          <w:color w:val="FF0000"/>
                          <w:sz w:val="20"/>
                        </w:rPr>
                        <w:t>1000</w:t>
                      </w: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r w:rsidRPr="00B513BB">
                        <w:rPr>
                          <w:color w:val="FF0000"/>
                          <w:sz w:val="20"/>
                        </w:rPr>
                        <w:t>100</w:t>
                      </w: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r w:rsidRPr="00B513BB">
                        <w:rPr>
                          <w:color w:val="FF0000"/>
                          <w:sz w:val="20"/>
                        </w:rPr>
                        <w:t>10</w:t>
                      </w: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rPr>
                      </w:pPr>
                    </w:p>
                    <w:p w:rsidR="00F277B0" w:rsidRPr="00B513BB" w:rsidRDefault="00F277B0" w:rsidP="00F277B0">
                      <w:pPr>
                        <w:pStyle w:val="NoSpacing"/>
                        <w:rPr>
                          <w:color w:val="FF0000"/>
                          <w:sz w:val="20"/>
                          <w:lang w:val="en-US"/>
                        </w:rPr>
                      </w:pPr>
                      <w:r w:rsidRPr="00B513BB">
                        <w:rPr>
                          <w:color w:val="FF0000"/>
                          <w:sz w:val="20"/>
                        </w:rPr>
                        <w:t>1</w:t>
                      </w:r>
                    </w:p>
                  </w:txbxContent>
                </v:textbox>
              </v:shape>
              <v:rect id="_x0000_s1058" style="position:absolute;left:6840;top:2025;width:885;height:4430" fillcolor="#c6d9f1 [671]" stroked="f"/>
              <v:shape id="_x0000_s1059" type="#_x0000_t32" style="position:absolute;left:3915;top:2460;width:4459;height:3900;flip:x" o:connectortype="straight" strokecolor="red" strokeweight="1.5pt"/>
              <v:shape id="_x0000_s1060" type="#_x0000_t202" style="position:absolute;left:7235;top:5120;width:1147;height:403;mso-height-percent:200;mso-height-percent:200;mso-width-relative:margin;mso-height-relative:margin" fillcolor="#dbe5f1 [660]" strokecolor="#b2a1c7 [1943]">
                <v:textbox style="mso-next-textbox:#_x0000_s1060;mso-fit-shape-to-text:t">
                  <w:txbxContent>
                    <w:p w:rsidR="00F277B0" w:rsidRPr="00B513BB" w:rsidRDefault="00F277B0" w:rsidP="00F277B0">
                      <w:pPr>
                        <w:pStyle w:val="NoSpacing"/>
                        <w:rPr>
                          <w:b/>
                          <w:color w:val="0070C0"/>
                          <w:sz w:val="20"/>
                          <w:lang w:val="en-US"/>
                        </w:rPr>
                      </w:pPr>
                      <w:r w:rsidRPr="00B513BB">
                        <w:rPr>
                          <w:b/>
                          <w:color w:val="0070C0"/>
                          <w:sz w:val="20"/>
                        </w:rPr>
                        <w:t>ΕΠ-Φιλμ</w:t>
                      </w:r>
                    </w:p>
                  </w:txbxContent>
                </v:textbox>
              </v:shape>
              <v:shape id="_x0000_s1061" style="position:absolute;left:6450;top:2685;width:1500;height:3675" coordsize="1500,3675" path="m,3675v116,-14,232,-27,315,-105c398,3492,430,3402,495,3210v65,-192,145,-543,210,-795c770,2163,825,1964,885,1695v60,-269,134,-690,180,-895c1111,595,1118,583,1163,465,1208,347,1279,167,1335,90,1391,13,1445,6,1500,e" filled="f" strokecolor="#0070c0" strokeweight="1.5pt">
                <v:path arrowok="t"/>
              </v:shape>
            </v:group>
            <v:shape id="_x0000_s1062" type="#_x0000_t32" style="position:absolute;left:3811;top:6088;width:0;height:4699" o:connectortype="straight" strokecolor="#00b050" strokeweight="2.25pt"/>
            <v:shape id="_x0000_s1063" type="#_x0000_t32" style="position:absolute;left:3811;top:10802;width:5279;height:0;flip:x" o:connectortype="straight" strokecolor="#00b050" strokeweight="2.25pt"/>
          </v:group>
        </w:pict>
      </w:r>
    </w:p>
    <w:p w:rsidR="00F277B0" w:rsidRDefault="00F277B0" w:rsidP="00F277B0">
      <w:pPr>
        <w:pStyle w:val="NoSpacing"/>
        <w:spacing w:before="120"/>
        <w:jc w:val="center"/>
      </w:pPr>
      <w:r>
        <w:rPr>
          <w:noProof/>
          <w:lang w:val="en-US"/>
        </w:rPr>
        <w:drawing>
          <wp:inline distT="0" distB="0" distL="0" distR="0">
            <wp:extent cx="4010025" cy="3611827"/>
            <wp:effectExtent l="19050" t="19050" r="9525" b="26723"/>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4010284" cy="3612061"/>
                    </a:xfrm>
                    <a:prstGeom prst="rect">
                      <a:avLst/>
                    </a:prstGeom>
                    <a:noFill/>
                    <a:ln w="9525">
                      <a:solidFill>
                        <a:schemeClr val="accent1"/>
                      </a:solidFill>
                      <a:miter lim="800000"/>
                      <a:headEnd/>
                      <a:tailEnd/>
                    </a:ln>
                  </pic:spPr>
                </pic:pic>
              </a:graphicData>
            </a:graphic>
          </wp:inline>
        </w:drawing>
      </w:r>
    </w:p>
    <w:p w:rsidR="00565BBC" w:rsidRDefault="00F277B0" w:rsidP="00F277B0">
      <w:pPr>
        <w:pStyle w:val="NoSpacing"/>
        <w:spacing w:before="120"/>
        <w:jc w:val="both"/>
        <w:rPr>
          <w:lang w:val="en-US"/>
        </w:rPr>
      </w:pPr>
      <w:r w:rsidRPr="008E76A7">
        <w:rPr>
          <w:lang w:val="en-US"/>
        </w:rPr>
        <w:t xml:space="preserve"> </w:t>
      </w:r>
    </w:p>
    <w:p w:rsidR="00565BBC" w:rsidRDefault="00565BBC">
      <w:pPr>
        <w:shd w:val="clear" w:color="auto" w:fill="auto"/>
        <w:spacing w:after="200" w:line="276" w:lineRule="auto"/>
        <w:textAlignment w:val="auto"/>
        <w:rPr>
          <w:rFonts w:asciiTheme="minorHAnsi" w:hAnsiTheme="minorHAnsi" w:cstheme="minorBidi"/>
          <w:color w:val="auto"/>
          <w:sz w:val="22"/>
          <w:szCs w:val="22"/>
          <w:shd w:val="clear" w:color="auto" w:fill="auto"/>
          <w:lang w:val="en-US"/>
        </w:rPr>
      </w:pPr>
      <w:r>
        <w:rPr>
          <w:lang w:val="en-US"/>
        </w:rPr>
        <w:br w:type="page"/>
      </w:r>
    </w:p>
    <w:p w:rsidR="00F277B0" w:rsidRPr="008E76A7" w:rsidRDefault="00565BBC" w:rsidP="00F277B0">
      <w:pPr>
        <w:pStyle w:val="NoSpacing"/>
        <w:spacing w:before="120"/>
        <w:jc w:val="both"/>
        <w:rPr>
          <w:lang w:val="en-US"/>
        </w:rPr>
      </w:pPr>
      <w:r>
        <w:rPr>
          <w:noProof/>
          <w:bdr w:val="none" w:sz="0" w:space="0" w:color="auto"/>
          <w:lang w:val="en-US"/>
        </w:rPr>
        <w:lastRenderedPageBreak/>
        <w:drawing>
          <wp:anchor distT="0" distB="0" distL="114300" distR="114300" simplePos="0" relativeHeight="251671552" behindDoc="0" locked="0" layoutInCell="1" allowOverlap="1">
            <wp:simplePos x="0" y="0"/>
            <wp:positionH relativeFrom="margin">
              <wp:posOffset>2209800</wp:posOffset>
            </wp:positionH>
            <wp:positionV relativeFrom="margin">
              <wp:posOffset>123825</wp:posOffset>
            </wp:positionV>
            <wp:extent cx="1388110" cy="1409700"/>
            <wp:effectExtent l="19050" t="0" r="2540" b="0"/>
            <wp:wrapSquare wrapText="bothSides"/>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1388110" cy="1409700"/>
                    </a:xfrm>
                    <a:prstGeom prst="rect">
                      <a:avLst/>
                    </a:prstGeom>
                    <a:noFill/>
                    <a:ln w="9525">
                      <a:noFill/>
                      <a:miter lim="800000"/>
                      <a:headEnd/>
                      <a:tailEnd/>
                    </a:ln>
                  </pic:spPr>
                </pic:pic>
              </a:graphicData>
            </a:graphic>
          </wp:anchor>
        </w:drawing>
      </w:r>
      <w:r>
        <w:rPr>
          <w:noProof/>
          <w:bdr w:val="none" w:sz="0" w:space="0" w:color="auto"/>
          <w:lang w:val="en-US"/>
        </w:rPr>
        <w:drawing>
          <wp:anchor distT="0" distB="0" distL="114300" distR="114300" simplePos="0" relativeHeight="251670528" behindDoc="0" locked="0" layoutInCell="1" allowOverlap="1">
            <wp:simplePos x="0" y="0"/>
            <wp:positionH relativeFrom="margin">
              <wp:posOffset>4048125</wp:posOffset>
            </wp:positionH>
            <wp:positionV relativeFrom="margin">
              <wp:posOffset>171450</wp:posOffset>
            </wp:positionV>
            <wp:extent cx="1438275" cy="1362075"/>
            <wp:effectExtent l="19050" t="0" r="9525" b="0"/>
            <wp:wrapSquare wrapText="bothSides"/>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1438275" cy="1362075"/>
                    </a:xfrm>
                    <a:prstGeom prst="rect">
                      <a:avLst/>
                    </a:prstGeom>
                    <a:noFill/>
                    <a:ln w="9525">
                      <a:noFill/>
                      <a:miter lim="800000"/>
                      <a:headEnd/>
                      <a:tailEnd/>
                    </a:ln>
                  </pic:spPr>
                </pic:pic>
              </a:graphicData>
            </a:graphic>
          </wp:anchor>
        </w:drawing>
      </w:r>
    </w:p>
    <w:p w:rsidR="00F277B0" w:rsidRPr="008E76A7" w:rsidRDefault="00565BBC" w:rsidP="00F277B0">
      <w:pPr>
        <w:pStyle w:val="NoSpacing"/>
        <w:spacing w:before="120"/>
        <w:jc w:val="both"/>
        <w:rPr>
          <w:lang w:val="en-US"/>
        </w:rPr>
      </w:pPr>
      <w:r>
        <w:rPr>
          <w:noProof/>
          <w:bdr w:val="none" w:sz="0" w:space="0" w:color="auto"/>
          <w:lang w:val="en-US"/>
        </w:rPr>
        <w:drawing>
          <wp:anchor distT="0" distB="0" distL="114300" distR="114300" simplePos="0" relativeHeight="251672576" behindDoc="0" locked="0" layoutInCell="1" allowOverlap="1">
            <wp:simplePos x="0" y="0"/>
            <wp:positionH relativeFrom="margin">
              <wp:posOffset>371475</wp:posOffset>
            </wp:positionH>
            <wp:positionV relativeFrom="margin">
              <wp:posOffset>333375</wp:posOffset>
            </wp:positionV>
            <wp:extent cx="1628775" cy="1143000"/>
            <wp:effectExtent l="19050" t="0" r="9525" b="0"/>
            <wp:wrapSquare wrapText="bothSides"/>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1628775" cy="1143000"/>
                    </a:xfrm>
                    <a:prstGeom prst="rect">
                      <a:avLst/>
                    </a:prstGeom>
                    <a:noFill/>
                    <a:ln w="9525">
                      <a:noFill/>
                      <a:miter lim="800000"/>
                      <a:headEnd/>
                      <a:tailEnd/>
                    </a:ln>
                  </pic:spPr>
                </pic:pic>
              </a:graphicData>
            </a:graphic>
          </wp:anchor>
        </w:drawing>
      </w:r>
      <w:r w:rsidR="00F277B0">
        <w:rPr>
          <w:noProof/>
          <w:bdr w:val="none" w:sz="0" w:space="0" w:color="auto"/>
          <w:lang w:val="en-US"/>
        </w:rPr>
        <w:pict>
          <v:group id="_x0000_s1043" style="position:absolute;left:0;text-align:left;margin-left:-5.25pt;margin-top:1.55pt;width:439.85pt;height:289.9pt;z-index:251676672;mso-position-horizontal-relative:text;mso-position-vertical-relative:text" coordorigin="1335,7965" coordsize="8797,5798">
            <v:shape id="_x0000_s1044" type="#_x0000_t202" style="position:absolute;left:2075;top:10220;width:8057;height:428;mso-height-percent:200;mso-height-percent:200;mso-width-relative:margin;mso-height-relative:margin" fillcolor="#dbe5f1 [660]" strokecolor="#95b3d7 [1940]">
              <v:textbox style="mso-fit-shape-to-text:t">
                <w:txbxContent>
                  <w:p w:rsidR="00F277B0" w:rsidRPr="00FA6CB1" w:rsidRDefault="00F277B0" w:rsidP="00F277B0">
                    <w:pPr>
                      <w:pStyle w:val="NoSpacing"/>
                      <w:rPr>
                        <w:lang w:val="en-US"/>
                      </w:rPr>
                    </w:pPr>
                    <w:r>
                      <w:rPr>
                        <w:lang w:val="en-US"/>
                      </w:rPr>
                      <w:t>1,6mAs/100kVp                                    6,4mAs/120kVp                           25mAs/120kVp</w:t>
                    </w:r>
                  </w:p>
                </w:txbxContent>
              </v:textbox>
            </v:shape>
            <v:shape id="_x0000_s1045" type="#_x0000_t202" style="position:absolute;left:2075;top:13335;width:8057;height:428;mso-height-percent:200;mso-height-percent:200;mso-width-relative:margin;mso-height-relative:margin" fillcolor="#dbe5f1 [660]" strokecolor="#95b3d7 [1940]">
              <v:textbox style="mso-fit-shape-to-text:t">
                <w:txbxContent>
                  <w:p w:rsidR="00F277B0" w:rsidRPr="00FA6CB1" w:rsidRDefault="00F277B0" w:rsidP="00F277B0">
                    <w:pPr>
                      <w:pStyle w:val="NoSpacing"/>
                      <w:rPr>
                        <w:lang w:val="en-US"/>
                      </w:rPr>
                    </w:pPr>
                    <w:r>
                      <w:rPr>
                        <w:lang w:val="en-US"/>
                      </w:rPr>
                      <w:t>1,6mAs/100kVp                                    10mAs/120kVp                                80mAs/120kVp</w:t>
                    </w:r>
                  </w:p>
                </w:txbxContent>
              </v:textbox>
            </v:shape>
            <v:shape id="_x0000_s1046" type="#_x0000_t202" style="position:absolute;left:1335;top:7965;width:570;height:5460;mso-width-relative:margin;mso-height-relative:margin" fillcolor="#dbe5f1 [660]" strokecolor="#95b3d7 [1940]">
              <v:textbox style="layout-flow:vertical;mso-layout-flow-alt:bottom-to-top">
                <w:txbxContent>
                  <w:p w:rsidR="00F277B0" w:rsidRPr="00EB1650" w:rsidRDefault="00F277B0" w:rsidP="00F277B0">
                    <w:pPr>
                      <w:pStyle w:val="NoSpacing"/>
                    </w:pPr>
                    <w:r w:rsidRPr="00EB1650">
                      <w:t xml:space="preserve">      </w:t>
                    </w:r>
                    <w:r>
                      <w:t>Ψηφιακή  (</w:t>
                    </w:r>
                    <w:r>
                      <w:rPr>
                        <w:lang w:val="en-US"/>
                      </w:rPr>
                      <w:t>CR</w:t>
                    </w:r>
                    <w:r w:rsidRPr="00EB1650">
                      <w:t>,</w:t>
                    </w:r>
                    <w:r>
                      <w:rPr>
                        <w:lang w:val="en-US"/>
                      </w:rPr>
                      <w:t>DR</w:t>
                    </w:r>
                    <w:r w:rsidRPr="00EB1650">
                      <w:t xml:space="preserve">)                    </w:t>
                    </w:r>
                    <w:r>
                      <w:t xml:space="preserve"> Αναλογική  (ΕΠ-φιλμ)</w:t>
                    </w:r>
                  </w:p>
                </w:txbxContent>
              </v:textbox>
            </v:shape>
          </v:group>
        </w:pict>
      </w:r>
      <w:r w:rsidR="00F277B0" w:rsidRPr="008E76A7">
        <w:rPr>
          <w:lang w:val="en-US"/>
        </w:rPr>
        <w:t xml:space="preserve">  </w:t>
      </w:r>
      <w:r w:rsidR="00F277B0" w:rsidRPr="008E76A7">
        <w:rPr>
          <w:noProof/>
          <w:lang w:val="en-US"/>
        </w:rPr>
        <w:t xml:space="preserve"> </w:t>
      </w:r>
      <w:r w:rsidR="00F277B0" w:rsidRPr="008E76A7">
        <w:rPr>
          <w:lang w:val="en-US"/>
        </w:rPr>
        <w:t xml:space="preserve">  </w:t>
      </w:r>
      <w:r w:rsidR="00F277B0" w:rsidRPr="008E76A7">
        <w:rPr>
          <w:noProof/>
          <w:lang w:val="en-US"/>
        </w:rPr>
        <w:t xml:space="preserve">  </w:t>
      </w:r>
      <w:r w:rsidR="00F277B0" w:rsidRPr="008E76A7">
        <w:rPr>
          <w:lang w:val="en-US"/>
        </w:rPr>
        <w:t xml:space="preserve">   </w:t>
      </w:r>
    </w:p>
    <w:p w:rsidR="00F277B0" w:rsidRPr="008E76A7" w:rsidRDefault="00F277B0" w:rsidP="00F277B0">
      <w:pPr>
        <w:pStyle w:val="NoSpacing"/>
        <w:spacing w:before="120"/>
        <w:jc w:val="both"/>
        <w:rPr>
          <w:lang w:val="en-US"/>
        </w:rPr>
      </w:pPr>
    </w:p>
    <w:p w:rsidR="00F277B0" w:rsidRPr="008E76A7" w:rsidRDefault="00F277B0" w:rsidP="00F277B0">
      <w:pPr>
        <w:pStyle w:val="NoSpacing"/>
        <w:spacing w:before="120"/>
        <w:jc w:val="both"/>
        <w:rPr>
          <w:lang w:val="en-US"/>
        </w:rPr>
      </w:pPr>
    </w:p>
    <w:p w:rsidR="00F277B0" w:rsidRPr="008E76A7" w:rsidRDefault="00F277B0" w:rsidP="00F277B0">
      <w:pPr>
        <w:pStyle w:val="NoSpacing"/>
        <w:spacing w:before="120"/>
        <w:jc w:val="both"/>
        <w:rPr>
          <w:lang w:val="en-US"/>
        </w:rPr>
      </w:pPr>
    </w:p>
    <w:p w:rsidR="00F277B0" w:rsidRPr="008E76A7" w:rsidRDefault="00F277B0" w:rsidP="00F277B0">
      <w:pPr>
        <w:pStyle w:val="NoSpacing"/>
        <w:spacing w:before="120"/>
        <w:jc w:val="both"/>
        <w:rPr>
          <w:lang w:val="en-US"/>
        </w:rPr>
      </w:pPr>
    </w:p>
    <w:p w:rsidR="00F277B0" w:rsidRPr="008E76A7" w:rsidRDefault="00F277B0" w:rsidP="00F277B0">
      <w:pPr>
        <w:pStyle w:val="NoSpacing"/>
        <w:spacing w:before="120"/>
        <w:jc w:val="both"/>
        <w:rPr>
          <w:lang w:val="en-US"/>
        </w:rPr>
      </w:pPr>
    </w:p>
    <w:p w:rsidR="00F277B0" w:rsidRPr="008E76A7" w:rsidRDefault="00F277B0" w:rsidP="00F277B0">
      <w:pPr>
        <w:pStyle w:val="NoSpacing"/>
        <w:spacing w:before="120"/>
        <w:jc w:val="both"/>
        <w:rPr>
          <w:lang w:val="en-US"/>
        </w:rPr>
      </w:pPr>
    </w:p>
    <w:p w:rsidR="00F277B0" w:rsidRPr="008E76A7" w:rsidRDefault="00565BBC" w:rsidP="00F277B0">
      <w:pPr>
        <w:pStyle w:val="NoSpacing"/>
        <w:spacing w:before="120"/>
        <w:jc w:val="both"/>
        <w:rPr>
          <w:lang w:val="en-US"/>
        </w:rPr>
      </w:pPr>
      <w:r>
        <w:rPr>
          <w:noProof/>
          <w:bdr w:val="none" w:sz="0" w:space="0" w:color="auto"/>
          <w:lang w:val="en-US"/>
        </w:rPr>
        <w:drawing>
          <wp:anchor distT="0" distB="0" distL="114300" distR="114300" simplePos="0" relativeHeight="251674624" behindDoc="0" locked="0" layoutInCell="1" allowOverlap="1">
            <wp:simplePos x="0" y="0"/>
            <wp:positionH relativeFrom="margin">
              <wp:posOffset>2152650</wp:posOffset>
            </wp:positionH>
            <wp:positionV relativeFrom="margin">
              <wp:posOffset>1962150</wp:posOffset>
            </wp:positionV>
            <wp:extent cx="1521460" cy="1524000"/>
            <wp:effectExtent l="19050" t="0" r="2540" b="0"/>
            <wp:wrapSquare wrapText="bothSides"/>
            <wp:docPr id="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1521460" cy="1524000"/>
                    </a:xfrm>
                    <a:prstGeom prst="rect">
                      <a:avLst/>
                    </a:prstGeom>
                    <a:noFill/>
                    <a:ln w="9525">
                      <a:noFill/>
                      <a:miter lim="800000"/>
                      <a:headEnd/>
                      <a:tailEnd/>
                    </a:ln>
                  </pic:spPr>
                </pic:pic>
              </a:graphicData>
            </a:graphic>
          </wp:anchor>
        </w:drawing>
      </w:r>
      <w:r>
        <w:rPr>
          <w:noProof/>
          <w:bdr w:val="none" w:sz="0" w:space="0" w:color="auto"/>
          <w:lang w:val="en-US"/>
        </w:rPr>
        <w:drawing>
          <wp:anchor distT="0" distB="0" distL="114300" distR="114300" simplePos="0" relativeHeight="251675648" behindDoc="0" locked="0" layoutInCell="1" allowOverlap="1">
            <wp:simplePos x="0" y="0"/>
            <wp:positionH relativeFrom="margin">
              <wp:posOffset>3943350</wp:posOffset>
            </wp:positionH>
            <wp:positionV relativeFrom="margin">
              <wp:posOffset>1962150</wp:posOffset>
            </wp:positionV>
            <wp:extent cx="1495425" cy="1524000"/>
            <wp:effectExtent l="19050" t="0" r="9525" b="0"/>
            <wp:wrapSquare wrapText="bothSides"/>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1495425" cy="1524000"/>
                    </a:xfrm>
                    <a:prstGeom prst="rect">
                      <a:avLst/>
                    </a:prstGeom>
                    <a:noFill/>
                    <a:ln w="9525">
                      <a:noFill/>
                      <a:miter lim="800000"/>
                      <a:headEnd/>
                      <a:tailEnd/>
                    </a:ln>
                  </pic:spPr>
                </pic:pic>
              </a:graphicData>
            </a:graphic>
          </wp:anchor>
        </w:drawing>
      </w:r>
      <w:r>
        <w:rPr>
          <w:noProof/>
          <w:bdr w:val="none" w:sz="0" w:space="0" w:color="auto"/>
          <w:lang w:val="en-US"/>
        </w:rPr>
        <w:drawing>
          <wp:anchor distT="0" distB="0" distL="114300" distR="114300" simplePos="0" relativeHeight="251673600" behindDoc="0" locked="0" layoutInCell="1" allowOverlap="1">
            <wp:simplePos x="0" y="0"/>
            <wp:positionH relativeFrom="margin">
              <wp:posOffset>371475</wp:posOffset>
            </wp:positionH>
            <wp:positionV relativeFrom="margin">
              <wp:posOffset>1962150</wp:posOffset>
            </wp:positionV>
            <wp:extent cx="1495425" cy="1524000"/>
            <wp:effectExtent l="19050" t="0" r="9525" b="0"/>
            <wp:wrapSquare wrapText="bothSides"/>
            <wp:docPr id="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1495425" cy="1524000"/>
                    </a:xfrm>
                    <a:prstGeom prst="rect">
                      <a:avLst/>
                    </a:prstGeom>
                    <a:noFill/>
                    <a:ln w="9525">
                      <a:noFill/>
                      <a:miter lim="800000"/>
                      <a:headEnd/>
                      <a:tailEnd/>
                    </a:ln>
                  </pic:spPr>
                </pic:pic>
              </a:graphicData>
            </a:graphic>
          </wp:anchor>
        </w:drawing>
      </w:r>
    </w:p>
    <w:p w:rsidR="00F277B0" w:rsidRPr="008E76A7" w:rsidRDefault="00F277B0" w:rsidP="00F277B0">
      <w:pPr>
        <w:pStyle w:val="Heading3"/>
        <w:rPr>
          <w:lang w:val="en-US"/>
        </w:rPr>
      </w:pPr>
      <w:r w:rsidRPr="008E76A7">
        <w:rPr>
          <w:lang w:val="en-US"/>
        </w:rPr>
        <w:t xml:space="preserve">                  </w:t>
      </w:r>
    </w:p>
    <w:p w:rsidR="00F277B0" w:rsidRPr="008E76A7" w:rsidRDefault="00F277B0" w:rsidP="00F277B0">
      <w:pPr>
        <w:pStyle w:val="Heading3"/>
        <w:rPr>
          <w:lang w:val="en-US"/>
        </w:rPr>
      </w:pPr>
    </w:p>
    <w:p w:rsidR="00F277B0" w:rsidRPr="008E76A7" w:rsidRDefault="00F277B0" w:rsidP="00F277B0">
      <w:pPr>
        <w:pStyle w:val="Heading3"/>
        <w:rPr>
          <w:lang w:val="en-US"/>
        </w:rPr>
      </w:pPr>
    </w:p>
    <w:p w:rsidR="00F277B0" w:rsidRPr="008E76A7" w:rsidRDefault="00F277B0" w:rsidP="00F277B0">
      <w:pPr>
        <w:pStyle w:val="Heading3"/>
        <w:rPr>
          <w:lang w:val="en-US"/>
        </w:rPr>
      </w:pPr>
    </w:p>
    <w:p w:rsidR="00565BBC" w:rsidRDefault="00565BBC" w:rsidP="00F277B0">
      <w:pPr>
        <w:shd w:val="clear" w:color="auto" w:fill="auto"/>
        <w:spacing w:after="200" w:line="276" w:lineRule="auto"/>
        <w:textAlignment w:val="auto"/>
        <w:rPr>
          <w:lang w:val="en-US"/>
        </w:rPr>
      </w:pPr>
    </w:p>
    <w:p w:rsidR="00565BBC" w:rsidRDefault="00565BBC" w:rsidP="00F277B0">
      <w:pPr>
        <w:shd w:val="clear" w:color="auto" w:fill="auto"/>
        <w:spacing w:after="200" w:line="276" w:lineRule="auto"/>
        <w:textAlignment w:val="auto"/>
        <w:rPr>
          <w:lang w:val="en-US"/>
        </w:rPr>
      </w:pPr>
    </w:p>
    <w:p w:rsidR="00F277B0" w:rsidRPr="008E76A7" w:rsidRDefault="00F277B0" w:rsidP="00F277B0">
      <w:pPr>
        <w:shd w:val="clear" w:color="auto" w:fill="auto"/>
        <w:spacing w:after="200" w:line="276" w:lineRule="auto"/>
        <w:textAlignment w:val="auto"/>
        <w:rPr>
          <w:rFonts w:ascii="Times New Roman" w:eastAsia="Times New Roman" w:hAnsi="Times New Roman" w:cs="Times New Roman"/>
          <w:b/>
          <w:bCs/>
          <w:color w:val="auto"/>
          <w:sz w:val="27"/>
          <w:szCs w:val="27"/>
          <w:bdr w:val="none" w:sz="0" w:space="0" w:color="auto"/>
          <w:lang w:val="en-US"/>
        </w:rPr>
      </w:pPr>
    </w:p>
    <w:p w:rsidR="00F277B0" w:rsidRPr="008E76A7" w:rsidRDefault="00F277B0" w:rsidP="00F277B0">
      <w:pPr>
        <w:pStyle w:val="Heading4"/>
        <w:rPr>
          <w:lang w:val="en-US"/>
        </w:rPr>
      </w:pPr>
      <w:r>
        <w:t>ΒΙΒΛΙΟΓΡΑΦΙΑ</w:t>
      </w:r>
    </w:p>
    <w:p w:rsidR="00F277B0" w:rsidRDefault="00F277B0" w:rsidP="00F277B0">
      <w:pPr>
        <w:shd w:val="clear" w:color="auto" w:fill="auto"/>
        <w:autoSpaceDE w:val="0"/>
        <w:autoSpaceDN w:val="0"/>
        <w:adjustRightInd w:val="0"/>
        <w:textAlignment w:val="auto"/>
        <w:rPr>
          <w:rFonts w:ascii="Verdana" w:hAnsi="Verdana" w:cs="Verdana"/>
          <w:color w:val="404040"/>
          <w:sz w:val="36"/>
          <w:szCs w:val="36"/>
          <w:bdr w:val="none" w:sz="0" w:space="0" w:color="auto"/>
          <w:shd w:val="clear" w:color="auto" w:fill="auto"/>
        </w:rPr>
      </w:pPr>
    </w:p>
    <w:p w:rsidR="00F277B0" w:rsidRPr="00BD5773" w:rsidRDefault="00F277B0" w:rsidP="00F277B0">
      <w:pPr>
        <w:pStyle w:val="NoSpacing"/>
        <w:numPr>
          <w:ilvl w:val="0"/>
          <w:numId w:val="6"/>
        </w:numPr>
        <w:rPr>
          <w:bdr w:val="none" w:sz="0" w:space="0" w:color="auto"/>
        </w:rPr>
      </w:pPr>
      <w:proofErr w:type="spellStart"/>
      <w:r w:rsidRPr="00F277B0">
        <w:rPr>
          <w:bdr w:val="none" w:sz="0" w:space="0" w:color="auto"/>
          <w:lang w:val="en-US"/>
        </w:rPr>
        <w:t>Bushong</w:t>
      </w:r>
      <w:proofErr w:type="spellEnd"/>
      <w:r w:rsidRPr="00F277B0">
        <w:rPr>
          <w:bdr w:val="none" w:sz="0" w:space="0" w:color="auto"/>
          <w:lang w:val="en-US"/>
        </w:rPr>
        <w:t xml:space="preserve"> SC. Radiologic Science for Technologists. </w:t>
      </w:r>
      <w:r w:rsidRPr="00BD5773">
        <w:rPr>
          <w:bdr w:val="none" w:sz="0" w:space="0" w:color="auto"/>
        </w:rPr>
        <w:t>9</w:t>
      </w:r>
      <w:r w:rsidRPr="00BD5773">
        <w:rPr>
          <w:bdr w:val="none" w:sz="0" w:space="0" w:color="auto"/>
          <w:vertAlign w:val="superscript"/>
        </w:rPr>
        <w:t>th</w:t>
      </w:r>
      <w:r w:rsidRPr="00BD5773">
        <w:rPr>
          <w:bdr w:val="none" w:sz="0" w:space="0" w:color="auto"/>
        </w:rPr>
        <w:t xml:space="preserve"> ed, Mosby 2009</w:t>
      </w:r>
    </w:p>
    <w:p w:rsidR="00F277B0" w:rsidRPr="00BD5773" w:rsidRDefault="00F277B0" w:rsidP="00F277B0">
      <w:pPr>
        <w:pStyle w:val="NoSpacing"/>
        <w:rPr>
          <w:bdr w:val="none" w:sz="0" w:space="0" w:color="auto"/>
        </w:rPr>
      </w:pPr>
    </w:p>
    <w:p w:rsidR="00F277B0" w:rsidRPr="00BD5773" w:rsidRDefault="00F277B0" w:rsidP="00F277B0">
      <w:pPr>
        <w:pStyle w:val="NoSpacing"/>
        <w:numPr>
          <w:ilvl w:val="0"/>
          <w:numId w:val="6"/>
        </w:numPr>
        <w:rPr>
          <w:bdr w:val="none" w:sz="0" w:space="0" w:color="auto"/>
          <w:lang w:val="en-US"/>
        </w:rPr>
      </w:pPr>
      <w:r w:rsidRPr="00BD5773">
        <w:rPr>
          <w:bdr w:val="none" w:sz="0" w:space="0" w:color="auto"/>
          <w:lang w:val="en-US"/>
        </w:rPr>
        <w:t>David Zamora, MS, DABR</w:t>
      </w:r>
      <w:r w:rsidRPr="00BD5773">
        <w:rPr>
          <w:lang w:val="en-US"/>
        </w:rPr>
        <w:t xml:space="preserve">, </w:t>
      </w:r>
      <w:r w:rsidRPr="00BD5773">
        <w:rPr>
          <w:bdr w:val="none" w:sz="0" w:space="0" w:color="auto"/>
          <w:lang w:val="en-US"/>
        </w:rPr>
        <w:t>Medical Physicist</w:t>
      </w:r>
      <w:r w:rsidRPr="00BD5773">
        <w:rPr>
          <w:lang w:val="en-US"/>
        </w:rPr>
        <w:t xml:space="preserve">, </w:t>
      </w:r>
      <w:r w:rsidRPr="00BD5773">
        <w:rPr>
          <w:bdr w:val="none" w:sz="0" w:space="0" w:color="auto"/>
          <w:lang w:val="en-US"/>
        </w:rPr>
        <w:t>University of Washington Medical Center, Department of Radiology</w:t>
      </w:r>
      <w:r>
        <w:rPr>
          <w:bdr w:val="none" w:sz="0" w:space="0" w:color="auto"/>
          <w:lang w:val="en-US"/>
        </w:rPr>
        <w:t xml:space="preserve">. </w:t>
      </w:r>
      <w:r w:rsidRPr="00BD5773">
        <w:rPr>
          <w:bdr w:val="none" w:sz="0" w:space="0" w:color="auto"/>
          <w:lang w:val="en-US"/>
        </w:rPr>
        <w:t xml:space="preserve"> </w:t>
      </w:r>
      <w:hyperlink r:id="rId17" w:history="1">
        <w:r w:rsidRPr="00BD5773">
          <w:rPr>
            <w:rStyle w:val="Hyperlink"/>
            <w:rFonts w:cs="Verdana"/>
            <w:lang w:val="en-US"/>
          </w:rPr>
          <w:t>http://courses.washington.edu/radxphys/</w:t>
        </w:r>
      </w:hyperlink>
    </w:p>
    <w:p w:rsidR="00F277B0" w:rsidRDefault="00F277B0" w:rsidP="00F277B0">
      <w:pPr>
        <w:pStyle w:val="ListParagraph"/>
      </w:pPr>
    </w:p>
    <w:p w:rsidR="00F277B0" w:rsidRDefault="00F277B0" w:rsidP="00F277B0">
      <w:pPr>
        <w:pStyle w:val="NoSpacing"/>
        <w:numPr>
          <w:ilvl w:val="0"/>
          <w:numId w:val="6"/>
        </w:numPr>
        <w:rPr>
          <w:bdr w:val="none" w:sz="0" w:space="0" w:color="auto"/>
          <w:lang w:val="en-US"/>
        </w:rPr>
      </w:pPr>
      <w:hyperlink r:id="rId18" w:history="1">
        <w:r w:rsidRPr="005518D0">
          <w:rPr>
            <w:rStyle w:val="Hyperlink"/>
            <w:bdr w:val="none" w:sz="0" w:space="0" w:color="auto"/>
            <w:lang w:val="en-US"/>
          </w:rPr>
          <w:t>http://blog.kleinproject.org/wp-content/uploads/2012/04/klein.png</w:t>
        </w:r>
      </w:hyperlink>
    </w:p>
    <w:p w:rsidR="00F277B0" w:rsidRDefault="00F277B0" w:rsidP="00F277B0">
      <w:pPr>
        <w:pStyle w:val="ListParagraph"/>
      </w:pPr>
    </w:p>
    <w:p w:rsidR="00F277B0" w:rsidRPr="00BD5773" w:rsidRDefault="00F277B0" w:rsidP="00F277B0">
      <w:pPr>
        <w:pStyle w:val="NoSpacing"/>
        <w:ind w:left="720"/>
        <w:rPr>
          <w:bdr w:val="none" w:sz="0" w:space="0" w:color="auto"/>
          <w:lang w:val="en-US"/>
        </w:rPr>
      </w:pPr>
    </w:p>
    <w:p w:rsidR="00F277B0" w:rsidRPr="00BD5773" w:rsidRDefault="00F277B0" w:rsidP="00F277B0">
      <w:pPr>
        <w:pStyle w:val="Heading3"/>
        <w:rPr>
          <w:rFonts w:ascii="Verdana" w:hAnsi="Verdana" w:cs="Verdana"/>
          <w:color w:val="0000FF"/>
          <w:sz w:val="22"/>
          <w:szCs w:val="22"/>
          <w:shd w:val="clear" w:color="auto" w:fill="auto"/>
          <w:lang w:val="en-US"/>
        </w:rPr>
      </w:pPr>
    </w:p>
    <w:p w:rsidR="00F277B0" w:rsidRPr="008E76A7" w:rsidRDefault="00F277B0" w:rsidP="00F277B0">
      <w:pPr>
        <w:pStyle w:val="Heading3"/>
        <w:rPr>
          <w:lang w:val="en-US"/>
        </w:rPr>
      </w:pPr>
    </w:p>
    <w:p w:rsidR="00F277B0" w:rsidRPr="00F277B0" w:rsidRDefault="00F277B0" w:rsidP="00482B5E">
      <w:pPr>
        <w:shd w:val="clear" w:color="auto" w:fill="auto"/>
        <w:spacing w:after="200" w:line="276" w:lineRule="auto"/>
        <w:textAlignment w:val="auto"/>
        <w:rPr>
          <w:rFonts w:asciiTheme="minorHAnsi" w:hAnsiTheme="minorHAnsi" w:cstheme="minorBidi"/>
          <w:color w:val="auto"/>
          <w:sz w:val="22"/>
          <w:szCs w:val="22"/>
          <w:shd w:val="clear" w:color="auto" w:fill="auto"/>
          <w:lang w:val="en-US"/>
        </w:rPr>
      </w:pPr>
    </w:p>
    <w:p w:rsidR="002F3FC6" w:rsidRPr="00F277B0" w:rsidRDefault="002F3FC6" w:rsidP="00FA4BF9">
      <w:pPr>
        <w:rPr>
          <w:lang w:val="en-US"/>
        </w:rPr>
      </w:pPr>
    </w:p>
    <w:sectPr w:rsidR="002F3FC6" w:rsidRPr="00F277B0" w:rsidSect="002F3F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A1"/>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795pt;height:583.5pt" o:bullet="t">
        <v:imagedata r:id="rId1" o:title="ice_king_s_little_flower_penguin_by_maijafeja-d6w7i08"/>
      </v:shape>
    </w:pict>
  </w:numPicBullet>
  <w:abstractNum w:abstractNumId="0">
    <w:nsid w:val="05B40AC8"/>
    <w:multiLevelType w:val="hybridMultilevel"/>
    <w:tmpl w:val="B87AAA0A"/>
    <w:lvl w:ilvl="0" w:tplc="B72A4E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57047"/>
    <w:multiLevelType w:val="hybridMultilevel"/>
    <w:tmpl w:val="53EAA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E4988"/>
    <w:multiLevelType w:val="hybridMultilevel"/>
    <w:tmpl w:val="57E8DC7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72332E8"/>
    <w:multiLevelType w:val="hybridMultilevel"/>
    <w:tmpl w:val="6932F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2554E6"/>
    <w:multiLevelType w:val="hybridMultilevel"/>
    <w:tmpl w:val="7FFC442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572E5B"/>
    <w:multiLevelType w:val="hybridMultilevel"/>
    <w:tmpl w:val="E7F0A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A4BF9"/>
    <w:rsid w:val="00123651"/>
    <w:rsid w:val="00250F55"/>
    <w:rsid w:val="002D3E53"/>
    <w:rsid w:val="002F3FC6"/>
    <w:rsid w:val="003C1617"/>
    <w:rsid w:val="00482B5E"/>
    <w:rsid w:val="00565BBC"/>
    <w:rsid w:val="006255D9"/>
    <w:rsid w:val="006C5149"/>
    <w:rsid w:val="008D57D1"/>
    <w:rsid w:val="00D82976"/>
    <w:rsid w:val="00DB3142"/>
    <w:rsid w:val="00F277B0"/>
    <w:rsid w:val="00FA4B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00b050"/>
    </o:shapedefaults>
    <o:shapelayout v:ext="edit">
      <o:idmap v:ext="edit" data="1"/>
      <o:rules v:ext="edit">
        <o:r id="V:Rule1" type="connector" idref="#_x0000_s1059"/>
        <o:r id="V:Rule2" type="connector" idref="#_x0000_s1053"/>
        <o:r id="V:Rule3" type="connector" idref="#_x0000_s1054"/>
        <o:r id="V:Rule5" type="connector" idref="#_x0000_s1062"/>
        <o:r id="V:Rule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BF9"/>
    <w:pPr>
      <w:shd w:val="clear" w:color="auto" w:fill="FFFFFF"/>
      <w:spacing w:after="0" w:line="240" w:lineRule="auto"/>
      <w:textAlignment w:val="baseline"/>
    </w:pPr>
    <w:rPr>
      <w:rFonts w:ascii="inherit" w:hAnsi="inherit" w:cs="Arial"/>
      <w:color w:val="000000"/>
      <w:sz w:val="24"/>
      <w:szCs w:val="24"/>
      <w:bdr w:val="none" w:sz="0" w:space="0" w:color="auto" w:frame="1"/>
      <w:shd w:val="clear" w:color="auto" w:fill="EEEEEE"/>
    </w:rPr>
  </w:style>
  <w:style w:type="paragraph" w:styleId="Heading1">
    <w:name w:val="heading 1"/>
    <w:basedOn w:val="Normal"/>
    <w:next w:val="Normal"/>
    <w:link w:val="Heading1Char"/>
    <w:uiPriority w:val="9"/>
    <w:qFormat/>
    <w:rsid w:val="00FA4B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3142"/>
    <w:pPr>
      <w:spacing w:before="100" w:beforeAutospacing="1" w:after="100" w:afterAutospacing="1"/>
      <w:outlineLvl w:val="1"/>
    </w:pPr>
    <w:rPr>
      <w:rFonts w:ascii="Times New Roman" w:eastAsia="Times New Roman" w:hAnsi="Times New Roman" w:cs="Times New Roman"/>
      <w:b/>
      <w:bCs/>
      <w:color w:val="auto"/>
      <w:sz w:val="36"/>
      <w:szCs w:val="36"/>
      <w:bdr w:val="none" w:sz="0" w:space="0" w:color="auto"/>
    </w:rPr>
  </w:style>
  <w:style w:type="paragraph" w:styleId="Heading3">
    <w:name w:val="heading 3"/>
    <w:basedOn w:val="Normal"/>
    <w:link w:val="Heading3Char"/>
    <w:uiPriority w:val="9"/>
    <w:qFormat/>
    <w:rsid w:val="00DB3142"/>
    <w:pPr>
      <w:spacing w:before="100" w:beforeAutospacing="1" w:after="100" w:afterAutospacing="1"/>
      <w:outlineLvl w:val="2"/>
    </w:pPr>
    <w:rPr>
      <w:rFonts w:ascii="Times New Roman" w:eastAsia="Times New Roman" w:hAnsi="Times New Roman" w:cs="Times New Roman"/>
      <w:b/>
      <w:bCs/>
      <w:color w:val="auto"/>
      <w:sz w:val="27"/>
      <w:szCs w:val="27"/>
      <w:bdr w:val="none" w:sz="0" w:space="0" w:color="auto"/>
    </w:rPr>
  </w:style>
  <w:style w:type="paragraph" w:styleId="Heading4">
    <w:name w:val="heading 4"/>
    <w:basedOn w:val="Normal"/>
    <w:next w:val="Normal"/>
    <w:link w:val="Heading4Char"/>
    <w:uiPriority w:val="9"/>
    <w:unhideWhenUsed/>
    <w:qFormat/>
    <w:rsid w:val="00F277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31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3142"/>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DB31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bdr w:val="none" w:sz="0" w:space="0" w:color="auto"/>
    </w:rPr>
  </w:style>
  <w:style w:type="character" w:customStyle="1" w:styleId="TitleChar">
    <w:name w:val="Title Char"/>
    <w:basedOn w:val="DefaultParagraphFont"/>
    <w:link w:val="Title"/>
    <w:uiPriority w:val="10"/>
    <w:rsid w:val="00DB314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DB3142"/>
    <w:rPr>
      <w:b/>
      <w:bCs/>
    </w:rPr>
  </w:style>
  <w:style w:type="character" w:styleId="Emphasis">
    <w:name w:val="Emphasis"/>
    <w:basedOn w:val="DefaultParagraphFont"/>
    <w:uiPriority w:val="20"/>
    <w:qFormat/>
    <w:rsid w:val="00DB3142"/>
    <w:rPr>
      <w:i/>
      <w:iCs/>
    </w:rPr>
  </w:style>
  <w:style w:type="paragraph" w:styleId="NoSpacing">
    <w:name w:val="No Spacing"/>
    <w:uiPriority w:val="1"/>
    <w:qFormat/>
    <w:rsid w:val="00DB3142"/>
    <w:pPr>
      <w:spacing w:after="0" w:line="240" w:lineRule="auto"/>
    </w:pPr>
    <w:rPr>
      <w:bdr w:val="none" w:sz="0" w:space="0" w:color="auto" w:frame="1"/>
    </w:rPr>
  </w:style>
  <w:style w:type="character" w:customStyle="1" w:styleId="Heading1Char">
    <w:name w:val="Heading 1 Char"/>
    <w:basedOn w:val="DefaultParagraphFont"/>
    <w:link w:val="Heading1"/>
    <w:uiPriority w:val="9"/>
    <w:rsid w:val="00FA4BF9"/>
    <w:rPr>
      <w:rFonts w:asciiTheme="majorHAnsi" w:eastAsiaTheme="majorEastAsia" w:hAnsiTheme="majorHAnsi" w:cstheme="majorBidi"/>
      <w:b/>
      <w:bCs/>
      <w:color w:val="365F91" w:themeColor="accent1" w:themeShade="BF"/>
      <w:sz w:val="28"/>
      <w:szCs w:val="28"/>
      <w:bdr w:val="none" w:sz="0" w:space="0" w:color="auto" w:frame="1"/>
      <w:shd w:val="clear" w:color="auto" w:fill="FFFFFF"/>
    </w:rPr>
  </w:style>
  <w:style w:type="paragraph" w:styleId="BalloonText">
    <w:name w:val="Balloon Text"/>
    <w:basedOn w:val="Normal"/>
    <w:link w:val="BalloonTextChar"/>
    <w:uiPriority w:val="99"/>
    <w:semiHidden/>
    <w:unhideWhenUsed/>
    <w:rsid w:val="00FA4BF9"/>
    <w:rPr>
      <w:rFonts w:ascii="Tahoma" w:hAnsi="Tahoma" w:cs="Tahoma"/>
      <w:sz w:val="16"/>
      <w:szCs w:val="16"/>
    </w:rPr>
  </w:style>
  <w:style w:type="character" w:customStyle="1" w:styleId="BalloonTextChar">
    <w:name w:val="Balloon Text Char"/>
    <w:basedOn w:val="DefaultParagraphFont"/>
    <w:link w:val="BalloonText"/>
    <w:uiPriority w:val="99"/>
    <w:semiHidden/>
    <w:rsid w:val="00FA4BF9"/>
    <w:rPr>
      <w:rFonts w:ascii="Tahoma" w:hAnsi="Tahoma" w:cs="Tahoma"/>
      <w:color w:val="000000"/>
      <w:sz w:val="16"/>
      <w:szCs w:val="16"/>
      <w:bdr w:val="none" w:sz="0" w:space="0" w:color="auto" w:frame="1"/>
      <w:shd w:val="clear" w:color="auto" w:fill="FFFFFF"/>
    </w:rPr>
  </w:style>
  <w:style w:type="character" w:customStyle="1" w:styleId="Heading4Char">
    <w:name w:val="Heading 4 Char"/>
    <w:basedOn w:val="DefaultParagraphFont"/>
    <w:link w:val="Heading4"/>
    <w:uiPriority w:val="9"/>
    <w:rsid w:val="00F277B0"/>
    <w:rPr>
      <w:rFonts w:asciiTheme="majorHAnsi" w:eastAsiaTheme="majorEastAsia" w:hAnsiTheme="majorHAnsi" w:cstheme="majorBidi"/>
      <w:b/>
      <w:bCs/>
      <w:i/>
      <w:iCs/>
      <w:color w:val="4F81BD" w:themeColor="accent1"/>
      <w:sz w:val="24"/>
      <w:szCs w:val="24"/>
      <w:bdr w:val="none" w:sz="0" w:space="0" w:color="auto" w:frame="1"/>
      <w:shd w:val="clear" w:color="auto" w:fill="FFFFFF"/>
    </w:rPr>
  </w:style>
  <w:style w:type="character" w:styleId="Hyperlink">
    <w:name w:val="Hyperlink"/>
    <w:basedOn w:val="DefaultParagraphFont"/>
    <w:uiPriority w:val="99"/>
    <w:unhideWhenUsed/>
    <w:rsid w:val="00F277B0"/>
    <w:rPr>
      <w:color w:val="0000FF" w:themeColor="hyperlink"/>
      <w:u w:val="single"/>
    </w:rPr>
  </w:style>
  <w:style w:type="paragraph" w:styleId="ListParagraph">
    <w:name w:val="List Paragraph"/>
    <w:basedOn w:val="Normal"/>
    <w:uiPriority w:val="34"/>
    <w:qFormat/>
    <w:rsid w:val="00F277B0"/>
    <w:pPr>
      <w:shd w:val="clear" w:color="auto" w:fill="auto"/>
      <w:ind w:left="720"/>
      <w:contextualSpacing/>
      <w:textAlignment w:val="auto"/>
    </w:pPr>
    <w:rPr>
      <w:rFonts w:ascii="Times New Roman" w:eastAsia="Times New Roman" w:hAnsi="Times New Roman" w:cs="Times New Roman"/>
      <w:color w:val="auto"/>
      <w:bdr w:val="none" w:sz="0" w:space="0" w:color="auto"/>
      <w:shd w:val="clear" w:color="auto" w:fill="auto"/>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hyperlink" Target="http://blog.kleinproject.org/wp-content/uploads/2012/04/klein.png" TargetMode="Externa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hyperlink" Target="http://courses.washington.edu/radxphys/" TargetMode="External"/><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1361</Words>
  <Characters>7759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Georgia</cp:lastModifiedBy>
  <cp:revision>6</cp:revision>
  <dcterms:created xsi:type="dcterms:W3CDTF">2015-01-12T10:28:00Z</dcterms:created>
  <dcterms:modified xsi:type="dcterms:W3CDTF">2015-01-12T10:37:00Z</dcterms:modified>
</cp:coreProperties>
</file>